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80" w:lineRule="exact"/>
        <w:jc w:val="both"/>
        <w:rPr>
          <w:rFonts w:hint="eastAsia" w:ascii="仿宋" w:hAnsi="仿宋" w:eastAsia="仿宋" w:cs="Arial"/>
          <w:color w:val="auto"/>
          <w:sz w:val="32"/>
          <w:szCs w:val="32"/>
          <w:lang w:eastAsia="zh-CN"/>
        </w:rPr>
      </w:pPr>
      <w:r>
        <w:rPr>
          <w:rFonts w:hint="eastAsia" w:ascii="仿宋" w:hAnsi="仿宋" w:eastAsia="仿宋" w:cs="Arial"/>
          <w:color w:val="auto"/>
          <w:sz w:val="32"/>
          <w:szCs w:val="32"/>
          <w:lang w:eastAsia="zh-CN"/>
        </w:rPr>
        <w:t>附件</w:t>
      </w:r>
      <w:r>
        <w:rPr>
          <w:rFonts w:hint="eastAsia" w:ascii="仿宋" w:hAnsi="仿宋" w:eastAsia="仿宋" w:cs="Arial"/>
          <w:color w:val="auto"/>
          <w:sz w:val="32"/>
          <w:szCs w:val="32"/>
          <w:lang w:val="en-US" w:eastAsia="zh-CN"/>
        </w:rPr>
        <w:t>2</w:t>
      </w:r>
    </w:p>
    <w:p>
      <w:pPr>
        <w:pStyle w:val="2"/>
        <w:widowControl/>
        <w:shd w:val="clear" w:color="auto" w:fill="FFFFFF"/>
        <w:spacing w:beforeAutospacing="0" w:afterAutospacing="0" w:line="580" w:lineRule="exact"/>
        <w:ind w:firstLine="883" w:firstLineChars="200"/>
        <w:jc w:val="center"/>
        <w:rPr>
          <w:rFonts w:hint="eastAsia" w:ascii="宋体" w:hAnsi="宋体" w:eastAsia="宋体" w:cs="宋体"/>
          <w:b/>
          <w:bCs/>
          <w:color w:val="auto"/>
          <w:sz w:val="44"/>
          <w:szCs w:val="44"/>
        </w:rPr>
      </w:pPr>
    </w:p>
    <w:p>
      <w:pPr>
        <w:pStyle w:val="2"/>
        <w:widowControl/>
        <w:shd w:val="clear" w:color="auto" w:fill="FFFFFF"/>
        <w:spacing w:beforeAutospacing="0" w:afterAutospacing="0" w:line="580" w:lineRule="exact"/>
        <w:ind w:firstLine="883" w:firstLineChars="200"/>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公平竞争</w:t>
      </w:r>
      <w:bookmarkStart w:id="0" w:name="_GoBack"/>
      <w:bookmarkEnd w:id="0"/>
      <w:r>
        <w:rPr>
          <w:rFonts w:hint="eastAsia" w:ascii="宋体" w:hAnsi="宋体" w:eastAsia="宋体" w:cs="宋体"/>
          <w:b/>
          <w:bCs/>
          <w:color w:val="auto"/>
          <w:sz w:val="44"/>
          <w:szCs w:val="44"/>
        </w:rPr>
        <w:t>审查标准</w:t>
      </w:r>
    </w:p>
    <w:p>
      <w:pPr>
        <w:pStyle w:val="2"/>
        <w:widowControl/>
        <w:shd w:val="clear" w:color="auto" w:fill="FFFFFF"/>
        <w:spacing w:beforeAutospacing="0" w:afterAutospacing="0" w:line="580" w:lineRule="exact"/>
        <w:ind w:firstLine="883" w:firstLineChars="200"/>
        <w:jc w:val="center"/>
        <w:rPr>
          <w:rFonts w:hint="eastAsia" w:ascii="宋体" w:hAnsi="宋体" w:eastAsia="宋体" w:cs="宋体"/>
          <w:b/>
          <w:bCs/>
          <w:color w:val="auto"/>
          <w:sz w:val="44"/>
          <w:szCs w:val="44"/>
        </w:rPr>
      </w:pPr>
    </w:p>
    <w:p>
      <w:pPr>
        <w:pStyle w:val="2"/>
        <w:widowControl/>
        <w:shd w:val="clear" w:color="auto" w:fill="FFFFFF"/>
        <w:spacing w:beforeAutospacing="0" w:afterAutospacing="0"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是否违反市场准入与退出标准</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1.设置不合理和歧视性的准入和退出条件；</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2.未经公平竞争授予经营者特许经营权；</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3.限定经营、购买、使用特定经营者提供的商品和服务；</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4.设置没有法律法规依据的审批或者具有行政审批性质的事前备案程序；</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5.对市场准入负面清单以外的行业、领域、业务设置审批程序。</w:t>
      </w:r>
    </w:p>
    <w:p>
      <w:pPr>
        <w:pStyle w:val="2"/>
        <w:widowControl/>
        <w:shd w:val="clear" w:color="auto" w:fill="FFFFFF"/>
        <w:spacing w:beforeAutospacing="0" w:afterAutospacing="0" w:line="58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是否违反商品要素自由流通标准</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1.对外地和进口商品、服务实行歧视性价格或补贴政策；</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2.限制外地和进口商品、服务进入本地市场或阻碍本地商品运出；</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3.排斥或限制外地经营者参加本地招标投标活动；</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4.排斥限制或强制外地经营者在本地投资或设立分支机构；</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5.对外地经营者在本地投资或设立的分支机构实行歧视性待遇。</w:t>
      </w:r>
    </w:p>
    <w:p>
      <w:pPr>
        <w:pStyle w:val="2"/>
        <w:widowControl/>
        <w:shd w:val="clear" w:color="auto" w:fill="FFFFFF"/>
        <w:spacing w:beforeAutospacing="0" w:afterAutospacing="0"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是否违反影响生产经营成本标准</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1.违法给予特定经营者优惠政策；</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2.将财政支出安排与企业缴纳的税收或非税收入挂钩；</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3.违法免除特定经营者需要缴纳的社会保险费用；</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4.违法要求经营者提供各类保证金或扣留经营者保证金。</w:t>
      </w:r>
    </w:p>
    <w:p>
      <w:pPr>
        <w:pStyle w:val="2"/>
        <w:widowControl/>
        <w:shd w:val="clear" w:color="auto" w:fill="FFFFFF"/>
        <w:spacing w:beforeAutospacing="0" w:afterAutospacing="0"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是否违反影响生产经营行为标准</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1.强制经营者从事《反垄断法》规定的垄断行为；</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2.违法披露或者要求经营者披露生产经营敏感信息；</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3.超越定价权限进行政府定价；</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4.违法干预实行市场调节价的商品服务价格水平。</w:t>
      </w:r>
    </w:p>
    <w:p>
      <w:pPr>
        <w:pStyle w:val="2"/>
        <w:widowControl/>
        <w:shd w:val="clear" w:color="auto" w:fill="FFFFFF"/>
        <w:spacing w:beforeAutospacing="0" w:afterAutospacing="0"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是否违反兜底条款</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1.没有法律法规依据减损市场主体合法权益或者增加其义务；</w:t>
      </w:r>
    </w:p>
    <w:p>
      <w:pPr>
        <w:pStyle w:val="2"/>
        <w:widowControl/>
        <w:shd w:val="clear" w:color="auto" w:fill="FFFFFF"/>
        <w:spacing w:beforeAutospacing="0" w:afterAutospacing="0" w:line="580" w:lineRule="exact"/>
        <w:ind w:firstLine="640" w:firstLineChars="200"/>
        <w:jc w:val="both"/>
        <w:rPr>
          <w:rFonts w:ascii="仿宋" w:hAnsi="仿宋" w:eastAsia="仿宋" w:cs="Arial"/>
          <w:color w:val="auto"/>
          <w:sz w:val="32"/>
          <w:szCs w:val="32"/>
        </w:rPr>
      </w:pPr>
      <w:r>
        <w:rPr>
          <w:rFonts w:hint="eastAsia" w:ascii="仿宋" w:hAnsi="仿宋" w:eastAsia="仿宋" w:cs="Arial"/>
          <w:color w:val="auto"/>
          <w:sz w:val="32"/>
          <w:szCs w:val="32"/>
        </w:rPr>
        <w:t>2.违反《反垄断法》制定含有排除限制竞争内容的政策措施。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7A"/>
    <w:family w:val="swiss"/>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E3A65"/>
    <w:rsid w:val="04E0632D"/>
    <w:rsid w:val="0EE97C73"/>
    <w:rsid w:val="355E3A65"/>
    <w:rsid w:val="3EA85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11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2019-04-17T07:58:00Z</dcterms:created>
  <dc:creator>梁玮莎</dc:creator>
  <cp:lastModifiedBy>梁玮莎</cp:lastModifiedBy>
  <dcterms:modified xsi:type="dcterms:W3CDTF">2019-04-17T08:53:52Z</dcterms:modified>
  <dc:title>公平竞争审查的标准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