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公平竞争审查初步结论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rFonts w:hint="eastAsia" w:eastAsia="方正仿宋简体"/>
          <w:sz w:val="32"/>
          <w:szCs w:val="32"/>
        </w:rPr>
        <w:t xml:space="preserve">     </w:t>
      </w:r>
      <w:r>
        <w:rPr>
          <w:rFonts w:eastAsia="方正仿宋简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月5日</w:t>
      </w:r>
    </w:p>
    <w:tbl>
      <w:tblPr>
        <w:tblStyle w:val="3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广东省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湿地保护</w:t>
            </w:r>
            <w:r>
              <w:rPr>
                <w:rFonts w:hint="eastAsia" w:ascii="宋体" w:hAnsi="宋体" w:cs="宋体"/>
                <w:sz w:val="32"/>
                <w:szCs w:val="32"/>
              </w:rPr>
              <w:t>条例（修订草案二次征求意见稿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林业、生态等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林业局湿地管理处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肖锋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020—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81811060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广东省林业局政策法规处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王洪敏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020—81813689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vAlign w:val="top"/>
          </w:tcPr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7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</w:t>
            </w:r>
            <w:r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92E7B"/>
    <w:rsid w:val="72D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2019-12-09T07:02:00Z</dcterms:created>
  <dc:creator>陈日强</dc:creator>
  <cp:lastModifiedBy>陈日强</cp:lastModifiedBy>
  <dcterms:modified xsi:type="dcterms:W3CDTF">2019-12-09T07:02:21Z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