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附件1：</w:t>
      </w: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关于印发广东省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政策性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森林保险实施方案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的通知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（送审稿）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地级以上市人民政府，各县（市、区）人民政府，省政府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部门、直属机构：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根据《农业保险条例》（中华人民共和国国务院令第629号）、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中共中央 国务院关于坚持农业农村优先发展做好“三农”工作的若干意见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》（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-SA"/>
        </w:rPr>
        <w:t>中发〔2019〕1号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关于印发&lt;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中央财政农业保险保费补贴管理办法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&gt;的通知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》（财金〔2016〕123号）、《广东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省大力推广政策性涉农保险的意见》（粤府办〔2012〕50号）精神，为充分发挥财政保费补贴的引导作用，加快我省政策性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保险“扩面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增品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提标”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，推进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业供给侧结构性改革，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经省人民政府同意，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现就广东省政策性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保险工作制定如下实施方案。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一、指导思想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以习近平新时代中国特色社会主义思想为指导，全面贯彻党的十九大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和十九届二中、三中、四中全会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精神，深入贯彻习近平总书记对广东重要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讲话和重要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指示批示精神，实施乡村振兴战略，以服务“三农”、保障民生为宗旨，建立由政府、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林农（企）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、保险公司共同参与的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风险分担机制，提升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业抵御风险和自救发展的能力，保障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业生产安全和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产品有效供给，促进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持续增收。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二、基本原则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（一）政府引导。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各级政府加强对政策性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保险工作的领导，积极宣传推广，引导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业生产者参保，落实财政配套补贴资金，加强理赔监管服务，保护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的生产积极性。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（二）市场运作。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充分发挥市场配置资源的决定性作用，通过公开招标、竞争性谈判、竞争性磋商等方式引入商业保险运营机构进行经营管理，承担理赔责任风险。通过年度工作考核实行奖惩制度，保持竞争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提升保险服务水平。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（三）自主自愿。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通过政策引导、保费补贴、理赔服务和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参保受益实例宣传等方式调动参保积极性，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林农（企）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自愿投保。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（四）协同推进。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保费补贴政策与其他惠农政策有机结合、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各相关部门间协调配合，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共同推进，发挥财政资金支农惠农强农的综合效益，切实提高财政资金支农绩效。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三、实施内容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实施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范围。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全省行政区域（不含深圳市、军事管理区、农垦）。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保险标的。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为生长和管理正常且权属清晰的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公益林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、商品林。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）参保对象。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参保对象范围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全省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和林业单位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）保险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责任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为森林综合保险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，即在保险期内，因火灾、暴雨、暴风、洪水、泥石流、旱灾、冰雹、霜冻、台风、暴雪、雨（雪）凇、林业有害生物等造成被保险林木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损坏、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损毁，包括流失、掩埋、主干折断、倒伏、死亡或推断死亡等表现在内的直接经济损失，由承保机构按照本方案及相关保险协议的规定进行赔偿。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不得设置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绝对免赔额条款。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）保险期限。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以一年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为一个投保周期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六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）保险金额。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不分树种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龄，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以亩为投保计量单位，保险金额为每亩保险金额与参保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林面积的乘积。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公益林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商品林每亩保险金额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00元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（七）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保险费率。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全省森林综合</w:t>
      </w:r>
      <w:r>
        <w:rPr>
          <w:rStyle w:val="4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保险费率按照《农业保险条例》有关规定确定，各市（区）、县遵照执行。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省属林场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按所在市同一费率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计算。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八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）保费。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保费=保险金额×保险费率。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）保费财政补贴。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按照投保则补、不保不补的原则，各级财政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以实际执行费率按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比例对投保者给予保费补贴。具体为：</w:t>
      </w:r>
    </w:p>
    <w:p>
      <w:pPr>
        <w:pStyle w:val="2"/>
        <w:widowControl w:val="0"/>
        <w:wordWrap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公益林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的补贴比例为100%。其中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中央财政补贴比例为50%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；省财政对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省属林场的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公益林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补贴50%，对粤东西北欠发达地区和江门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开平市、台山市补贴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%，其余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由市县财政负担；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广州、珠海、佛山、东莞、中山、江门（不含恩平、开平、台山）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地区由市县财政负担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%，省级财政不予补贴。</w:t>
      </w:r>
    </w:p>
    <w:p>
      <w:pPr>
        <w:pStyle w:val="2"/>
        <w:widowControl w:val="0"/>
        <w:wordWrap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2．商品林的补贴比例为70%，其余30%由林木经营者自己负担。其中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中央财政补贴比例为30%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；省财政对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省属林场的商品林补贴40%，对粤东西北欠发达地区和江门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恩平市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开平市、台山市补贴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%，其余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由市县财政负担；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广州、珠海、佛山、东莞、中山、江门（不含恩平、开平、台山）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地区由市县财政负担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%，省级财政不予补贴。</w:t>
      </w:r>
    </w:p>
    <w:p>
      <w:pPr>
        <w:pStyle w:val="2"/>
        <w:widowControl w:val="0"/>
        <w:wordWrap/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3．市、县（市、区）财政负担比例由各地自行研究确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定，其中，地级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市财政负担比例不少于市、县财政负担总额的50％。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具体实施方案报省林业局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省财政厅备案。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本方案实施期内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中央财政调整对我省保费补贴比例，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省财政厅将另文通知。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（十）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赔偿处理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政策性森林保险具体查勘、定损和理赔程序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林业局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保监局另行制定公布。承保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须发挥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政策性森林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保险应有的保障功能，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保险赔付的时效性。</w:t>
      </w:r>
    </w:p>
    <w:p>
      <w:pPr>
        <w:pStyle w:val="2"/>
        <w:widowControl w:val="0"/>
        <w:spacing w:line="580" w:lineRule="exact"/>
        <w:ind w:firstLine="640" w:firstLineChars="200"/>
        <w:jc w:val="both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四、承保机构管理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（一）承保机构准入要求。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参与投标的保险公司，应符合国务院《农业保险条例》及中国银保监会相关监管规定，具有中国银保监会认可的在广东经营政策性农业保险资格，偿付能力充足，有较为完善的基层服务网络。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eastAsia="zh-CN" w:bidi="ar"/>
        </w:rPr>
        <w:t>（二）招投标管理。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本着简化程序、节约成本原则，由省林业局、银保监局制定统一规范的招投标基本标准，各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地级市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林业主管部门视具体情况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自主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招标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，择优选取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1至3家保险公司承保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。其中森林面积低于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100万亩的汕头、佛山、珠海、中山、东莞市也可委托省林业局统一招标。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为落实国家对森林保险“扩面”要求，各地特别是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珠海、中山、东莞、惠州、韶关、梅州、云浮、肇庆、清远、广州、佛山、河源等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地级以上市及省直属林场，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要积极推进商品林承保，并把商品林承保率做为选取承保公司的重要因素。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如出现两次流标的情况，由地级以上市林业行政主管部门商同级财政部门后，通过抽签方式，从符合森林保险资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格的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保险公司中抽取相应数量的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保险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公司进行承保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（三）中标承保周期。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为增强承保机构服务稳定性和连续性，提高承保机构与投保方的契合度，承保机构一次中标承保周期为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五年。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（四）实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行动态管理。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一季度由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地级以上市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对承保机构上一年度工作进行考核，实行奖惩制度，重点考核合规经营、承保理赔服务、群众满意度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商品林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承保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等情况。具体考核办法由省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林业局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财政厅、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省金融办、省银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保监局另行制定公布。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（五）保险费减免优惠。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承保机构可以通过“无赔款优待”等方式，对保险期内无赔款的投保林农（企）、林业单位，在下一保险期限内给予一定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保费减免优惠。鼓励承保机构对镇、村散户统一投保给予保费优惠。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80" w:firstLineChars="15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其他说明。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为防止出现脱保情况，对于未能在规定时间内完成新一轮招标工作的地市，由原负责承保的保险机构继续承保直至完成招标工作，然后由新确定的中标机构按规定承保。</w:t>
      </w:r>
    </w:p>
    <w:p>
      <w:pPr>
        <w:pStyle w:val="2"/>
        <w:widowControl w:val="0"/>
        <w:wordWrap/>
        <w:spacing w:line="580" w:lineRule="exact"/>
        <w:ind w:firstLine="640" w:firstLineChars="200"/>
        <w:jc w:val="both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五、</w:t>
      </w:r>
      <w:r>
        <w:rPr>
          <w:rStyle w:val="4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签单方式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（一）公益林的签单。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林业行政主管部门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统一投保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并签订保单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市直属单位管护的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公益林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其自行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投保。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（二）商品林的签单。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商品林由林木经营者自主选择投保方式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选定的承保机构投保。支持以县、乡（镇）、村为单位，组织散户林农统一投保。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（三）赔款支付。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公益林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的保险赔款由承保机构直接支付投保当地财政部门，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由财政部门拨付投保林业行政主管部门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专项用于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公益林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受灾林地的造林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抚育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。省属国有林场公益林赔款</w:t>
      </w:r>
      <w:r>
        <w:rPr>
          <w:rFonts w:hint="eastAsia" w:ascii="仿宋_GB2312" w:hAnsi="仿宋_GB2312" w:eastAsia="仿宋_GB2312" w:cs="仿宋_GB2312"/>
          <w:snapToGrid/>
          <w:color w:val="000000"/>
          <w:kern w:val="0"/>
          <w:sz w:val="32"/>
          <w:szCs w:val="32"/>
          <w:lang w:val="en-US" w:eastAsia="zh-CN"/>
        </w:rPr>
        <w:t>按收支两条线上缴省财政，再根据实际情况下拨给投保林场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。商品林保险赔款由保险公司直接赔付给投保人。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六、保费补贴资金管理和拨付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（一）保费补贴资金管理。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各级财政承担的政策性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保险保费补贴资金实行国库集中支付管理。市县财政、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业部门要掌握当地各级财政补贴资金的使用进度情况。各级保险承办机构对政策性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保险保费补贴资金实行专项管理。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加强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保费补贴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监督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市县政府加强对保费补贴资金使用情况的监督、检查和审计，确保专款专用。如发现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承保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机构和有关单位提供虚假材料骗取保费补贴资金，将追回相应补贴资金，并视情节轻重追究有关人员责任，相关情况要及时上报省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林业局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财政厅、广东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保监局。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（三）保费补贴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资金的结算和拨付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保费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资金的结算和拨付按广东省财政厅、林业厅《广东省政策性森林保险保费补贴专项资金管理暂行办法》（粤财农〔2014〕179 号）、《广东省政策性森林保险省级财政保费补贴专项资金申报指南》（粤林〔2014〕79 号）以及《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关于做好政策性森林保险保费补贴资金结算和对账工作的通知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粤林财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〔2014〕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71号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）的要求执行。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七、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建立森林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保险大灾风险准备金制度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以各承保保险公司经过注册会计师审计通过的年度财务报表为依据，考察经办机构政策性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保险的整体承保利润率情况，计提省级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保险大灾风险准备金。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大灾风险准备金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采取超额累计计提，年度承保利润率超过10%的，按照超过部分的30%计提；承保利润率超过20%的，超过部分按照50%计提；承保利润率超过30%的，超过部分全部计提，省级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保险大灾风险准备金划拨到指定账户。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大灾风险准备金账户委托第三方金融机构管理，要求管理机构承诺资金保本并取得一定利率的增值收益。当发生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灾造成较大的理赔损失时，采取超额累计补贴制度，保险公司的年度承保利润率低于-10%后，启动大灾风险准备金使用程序，承保利润率低于-10%的，补贴超过-10%部分的30%；承保利润率低于-20%的，补贴超过-20%部分的50%；承保利润率低于-30%的部分，全额补贴。大灾风险准备金不足弥补的部分，仍由保险公司承担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森林保险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大灾风险准备金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制度由省林业局商省财政厅、省银保监局另行制定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八、保障措施和要求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按照“政府引导、政策扶持、市场运作、协同推进”的方式，省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林业局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牵头会同省财政厅、金融办和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保监局等有关单位积极推进政策性森林保险实施工作。市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县（市、区）政府要建立由林业、财政、金融等工作部门和承保机构组成的政策性森林保险工作协调机制，并指定专门部门牵头做好政策性森林保险工作，认真落实省政府的工作部署。</w:t>
      </w:r>
    </w:p>
    <w:p>
      <w:pPr>
        <w:pStyle w:val="2"/>
        <w:widowControl w:val="0"/>
        <w:wordWrap/>
        <w:spacing w:line="580" w:lineRule="exact"/>
        <w:ind w:firstLine="480" w:firstLineChars="15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（二）明确部门职责。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林业行政主管部门要充分发挥专业优势，对政策性森林保险实施提供技术支持，向承保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提供有关保户及保险标的基础信息，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负责保费补贴预算编制，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会同财政部门做好资金申请材料的审核工作，与承保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建立沟通联系工作机制，共同研究细化政策性森林保险有关制度、协议、技术规范和标准，参与森林保险灾后查勘定损，协助确定林木权属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受害面积和受害原因等工作；引导相关生产经营者参加保险，督促受灾户及时造林更新，恢复森林植被。财政部门要做好保费补贴资金的预算、筹集、拨付、监督、结算等各项工作，按比例承担的财政保费补贴资金应及时足额拨付，定期对资金使用情况进行监督检查，确保专款专用。保险监管部门要加强对政策性森林保险实施工作的监管，切实维护市场秩序和广大被保险人的合法利益，及时掌握工作进度，沟通相关信息。地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市县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融工作部门要推动有关银行与承保机构建立银保联动机制，引导林农对申请林权抵押贷款的林地参加政策性森林保险，以保险促进林业增信融资。承保机构要做好承保、防灾防损、查勘定损、理赔等专业化服务以及有关数据的统计、报送工作。其他相关部门也要按照职责分工，共同推进政策性林业保险工作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80" w:firstLineChars="1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）建立工作评价和奖惩机制。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森林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保险工作的年度考核，及时通报工作进展情况。省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林业局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财政厅、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金融办、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保监局设定考核指标表（包括经营概况、业务创新、风险管理、合规经营、服务网点、理赔效率、实际赔付等方面），每年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一季度由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地级以上市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对承保机构上一年度工作业绩进行考核，实行奖惩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对经办业务优秀的公司增加承保地域。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九、执行时间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本方案自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发布之日起30日后实施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实施期限5年。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原《广东省政策性森林保险试点工作方案》（粤办函〔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120号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）同时废止。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C0938"/>
    <w:rsid w:val="1E4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eastAsia="微软雅黑" w:cs="Arial"/>
      <w:color w:val="333333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2020-03-10T09:25:00Z</dcterms:created>
  <dc:creator>黄敏莹</dc:creator>
  <cp:lastModifiedBy>黄敏莹</cp:lastModifiedBy>
  <dcterms:modified xsi:type="dcterms:W3CDTF">2020-03-10T09:25:29Z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