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黑体" w:eastAsia="黑体" w:cs="黑体"/>
          <w:color w:val="auto"/>
          <w:kern w:val="2"/>
          <w:sz w:val="32"/>
          <w:szCs w:val="32"/>
          <w:lang w:val="en-US" w:eastAsia="en-US" w:bidi="ar-SA"/>
        </w:rPr>
      </w:pPr>
      <w:r>
        <w:rPr>
          <w:rFonts w:hint="eastAsia" w:ascii="黑体" w:eastAsia="黑体" w:cs="黑体"/>
          <w:color w:val="auto"/>
          <w:kern w:val="2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widowControl w:val="0"/>
        <w:jc w:val="center"/>
        <w:rPr>
          <w:rFonts w:hint="eastAsia" w:ascii="Heiti SC Medium" w:hAnsi="Heiti SC Medium" w:eastAsia="Heiti SC Medium" w:cs="方正小标宋简体"/>
          <w:color w:val="auto"/>
          <w:kern w:val="2"/>
          <w:sz w:val="72"/>
          <w:szCs w:val="72"/>
          <w:lang w:bidi="ar-SA"/>
        </w:rPr>
      </w:pPr>
      <w:bookmarkStart w:id="0" w:name="_GoBack"/>
      <w:bookmarkEnd w:id="0"/>
    </w:p>
    <w:p>
      <w:pPr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eastAsia="方正小标宋简体" w:cs="方正小标宋简体"/>
          <w:color w:val="000000"/>
          <w:kern w:val="0"/>
          <w:sz w:val="72"/>
          <w:szCs w:val="72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72"/>
          <w:szCs w:val="72"/>
          <w:lang w:bidi="ar-SA"/>
        </w:rPr>
        <w:t>广东省自然教育基地考核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eastAsia="方正小标宋简体" w:cs="方正小标宋简体"/>
          <w:color w:val="000000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72"/>
          <w:szCs w:val="72"/>
          <w:lang w:bidi="ar-SA"/>
        </w:rPr>
        <w:t>自评表</w:t>
      </w:r>
    </w:p>
    <w:p>
      <w:pPr>
        <w:keepNext w:val="0"/>
        <w:keepLines w:val="0"/>
        <w:widowControl/>
        <w:suppressLineNumbers w:val="0"/>
        <w:jc w:val="center"/>
        <w:rPr>
          <w:rFonts w:ascii="Calibri" w:hAnsi="Calibri" w:eastAsia="宋体" w:cs="Times New Roman"/>
          <w:kern w:val="2"/>
          <w:sz w:val="72"/>
          <w:szCs w:val="72"/>
          <w:lang w:val="en-US" w:eastAsia="en-US" w:bidi="ar-SA"/>
        </w:rPr>
      </w:pPr>
    </w:p>
    <w:p>
      <w:pPr>
        <w:widowControl w:val="0"/>
        <w:jc w:val="center"/>
        <w:rPr>
          <w:rFonts w:hint="eastAsia" w:ascii="宋体" w:eastAsia="宋体" w:cs="宋体"/>
          <w:b/>
          <w:bCs/>
          <w:color w:val="auto"/>
          <w:kern w:val="2"/>
          <w:sz w:val="72"/>
          <w:szCs w:val="72"/>
          <w:lang w:bidi="ar-SA"/>
        </w:rPr>
      </w:pPr>
    </w:p>
    <w:p>
      <w:pPr>
        <w:widowControl w:val="0"/>
        <w:jc w:val="both"/>
        <w:rPr>
          <w:rFonts w:hint="eastAsia" w:ascii="宋体" w:eastAsia="宋体" w:cs="宋体"/>
          <w:color w:val="auto"/>
          <w:kern w:val="2"/>
          <w:sz w:val="32"/>
          <w:szCs w:val="32"/>
          <w:lang w:bidi="ar-SA"/>
        </w:rPr>
      </w:pPr>
    </w:p>
    <w:p>
      <w:pPr>
        <w:widowControl w:val="0"/>
        <w:jc w:val="both"/>
        <w:rPr>
          <w:rFonts w:hint="eastAsia" w:ascii="宋体" w:eastAsia="宋体" w:cs="宋体"/>
          <w:color w:val="auto"/>
          <w:kern w:val="2"/>
          <w:sz w:val="32"/>
          <w:szCs w:val="32"/>
          <w:lang w:bidi="ar-SA"/>
        </w:rPr>
      </w:pPr>
    </w:p>
    <w:p>
      <w:pPr>
        <w:widowControl w:val="0"/>
        <w:jc w:val="both"/>
        <w:rPr>
          <w:rFonts w:hint="eastAsia" w:ascii="宋体" w:eastAsia="宋体" w:cs="宋体"/>
          <w:color w:val="auto"/>
          <w:kern w:val="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jc w:val="center"/>
        <w:textAlignment w:val="auto"/>
        <w:rPr>
          <w:rFonts w:hint="eastAsia" w:ascii="仿宋" w:eastAsia="仿宋" w:cs="仿宋"/>
          <w:color w:val="auto"/>
          <w:kern w:val="2"/>
          <w:sz w:val="32"/>
          <w:szCs w:val="32"/>
          <w:lang w:bidi="ar-SA"/>
        </w:rPr>
      </w:pPr>
      <w:r>
        <w:rPr>
          <w:rFonts w:hint="eastAsia" w:ascii="仿宋" w:eastAsia="仿宋" w:cs="仿宋"/>
          <w:color w:val="auto"/>
          <w:kern w:val="2"/>
          <w:sz w:val="32"/>
          <w:szCs w:val="32"/>
          <w:lang w:val="en-US" w:eastAsia="zh-CN" w:bidi="ar-SA"/>
        </w:rPr>
        <w:t>单位名称</w:t>
      </w:r>
      <w:r>
        <w:rPr>
          <w:rFonts w:hint="eastAsia" w:ascii="仿宋" w:eastAsia="仿宋" w:cs="仿宋"/>
          <w:color w:val="auto"/>
          <w:kern w:val="2"/>
          <w:sz w:val="32"/>
          <w:szCs w:val="32"/>
          <w:lang w:bidi="ar-SA"/>
        </w:rPr>
        <w:t>：</w:t>
      </w:r>
      <w:r>
        <w:rPr>
          <w:rFonts w:hint="eastAsia" w:ascii="仿宋" w:eastAsia="仿宋" w:cs="仿宋"/>
          <w:color w:val="auto"/>
          <w:kern w:val="2"/>
          <w:sz w:val="32"/>
          <w:szCs w:val="32"/>
          <w:u w:val="single"/>
          <w:lang w:bidi="ar-SA"/>
        </w:rPr>
        <w:t xml:space="preserve">                           </w:t>
      </w:r>
      <w:r>
        <w:rPr>
          <w:rFonts w:hint="eastAsia" w:ascii="仿宋" w:eastAsia="仿宋" w:cs="仿宋"/>
          <w:color w:val="auto"/>
          <w:kern w:val="2"/>
          <w:sz w:val="32"/>
          <w:szCs w:val="32"/>
          <w:lang w:bidi="ar-SA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960" w:firstLineChars="300"/>
        <w:jc w:val="both"/>
        <w:textAlignment w:val="auto"/>
        <w:rPr>
          <w:rFonts w:hint="eastAsia" w:ascii="仿宋" w:eastAsia="仿宋" w:cs="仿宋"/>
          <w:color w:val="auto"/>
          <w:kern w:val="2"/>
          <w:sz w:val="32"/>
          <w:szCs w:val="32"/>
          <w:u w:val="single"/>
          <w:lang w:bidi="ar-SA"/>
        </w:rPr>
      </w:pPr>
      <w:r>
        <w:rPr>
          <w:rFonts w:hint="eastAsia" w:ascii="仿宋" w:eastAsia="仿宋" w:cs="仿宋"/>
          <w:color w:val="auto"/>
          <w:kern w:val="2"/>
          <w:sz w:val="32"/>
          <w:szCs w:val="32"/>
          <w:lang w:val="en-US" w:eastAsia="zh-CN" w:bidi="ar-SA"/>
        </w:rPr>
        <w:t>填报</w:t>
      </w:r>
      <w:r>
        <w:rPr>
          <w:rFonts w:hint="eastAsia" w:ascii="仿宋" w:eastAsia="仿宋" w:cs="仿宋"/>
          <w:color w:val="auto"/>
          <w:kern w:val="2"/>
          <w:sz w:val="32"/>
          <w:szCs w:val="32"/>
          <w:lang w:bidi="ar-SA"/>
        </w:rPr>
        <w:t>日期：</w:t>
      </w:r>
      <w:r>
        <w:rPr>
          <w:rFonts w:hint="eastAsia" w:ascii="仿宋" w:eastAsia="仿宋" w:cs="仿宋"/>
          <w:color w:val="auto"/>
          <w:kern w:val="2"/>
          <w:sz w:val="32"/>
          <w:szCs w:val="32"/>
          <w:u w:val="single"/>
          <w:lang w:bidi="ar-SA"/>
        </w:rPr>
        <w:t xml:space="preserve">       年       月 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jc w:val="left"/>
        <w:textAlignment w:val="auto"/>
        <w:rPr>
          <w:rFonts w:hint="eastAsia" w:ascii="仿宋" w:eastAsia="仿宋" w:cs="仿宋"/>
          <w:color w:val="auto"/>
          <w:kern w:val="2"/>
          <w:sz w:val="32"/>
          <w:szCs w:val="32"/>
          <w:u w:val="single"/>
          <w:lang w:bidi="ar-SA"/>
        </w:rPr>
      </w:pPr>
    </w:p>
    <w:p>
      <w:pPr>
        <w:widowControl w:val="0"/>
        <w:spacing w:after="120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bidi="ar-SA"/>
        </w:rPr>
      </w:pPr>
    </w:p>
    <w:p>
      <w:pPr>
        <w:widowControl w:val="0"/>
        <w:jc w:val="center"/>
        <w:rPr>
          <w:rFonts w:hint="eastAsia" w:ascii="仿宋" w:eastAsia="仿宋" w:cs="仿宋"/>
          <w:color w:val="auto"/>
          <w:kern w:val="2"/>
          <w:sz w:val="32"/>
          <w:szCs w:val="32"/>
          <w:lang w:bidi="ar-SA"/>
        </w:rPr>
      </w:pPr>
      <w:r>
        <w:rPr>
          <w:rFonts w:hint="eastAsia" w:ascii="仿宋" w:eastAsia="仿宋" w:cs="仿宋"/>
          <w:color w:val="auto"/>
          <w:kern w:val="2"/>
          <w:sz w:val="32"/>
          <w:szCs w:val="32"/>
          <w:lang w:bidi="ar-SA"/>
        </w:rPr>
        <w:t>广东省林业局制表</w:t>
      </w:r>
    </w:p>
    <w:p>
      <w:pPr>
        <w:widowControl w:val="0"/>
        <w:spacing w:after="120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eastAsia="仿宋" w:cs="仿宋"/>
          <w:color w:val="auto"/>
          <w:kern w:val="2"/>
          <w:sz w:val="24"/>
          <w:szCs w:val="24"/>
          <w:lang w:val="en-US" w:eastAsia="zh-CN" w:bidi="ar-SA"/>
        </w:rPr>
        <w:sectPr>
          <w:pgSz w:w="11906" w:h="16838"/>
          <w:pgMar w:top="2098" w:right="1361" w:bottom="1587" w:left="1531" w:header="851" w:footer="1304" w:gutter="0"/>
          <w:pgNumType w:start="1"/>
          <w:cols w:space="720" w:num="1"/>
          <w:formProt w:val="0"/>
          <w:titlePg/>
          <w:docGrid w:type="lines" w:linePitch="313" w:charSpace="0"/>
        </w:sectPr>
      </w:pPr>
    </w:p>
    <w:p>
      <w:pPr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eastAsia="方正小标宋简体" w:cs="方正小标宋简体"/>
          <w:color w:val="000000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kern w:val="0"/>
          <w:sz w:val="44"/>
          <w:szCs w:val="44"/>
          <w:lang w:bidi="ar-SA"/>
        </w:rPr>
        <w:t>广东省自然教育基地考核自评表</w:t>
      </w:r>
    </w:p>
    <w:tbl>
      <w:tblPr>
        <w:tblStyle w:val="3"/>
        <w:tblW w:w="9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43"/>
        <w:gridCol w:w="3077"/>
        <w:gridCol w:w="1732"/>
        <w:gridCol w:w="146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基地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名称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颁牌年度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监测年份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单位法人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电话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联 系 人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职务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手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机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邮箱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通信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地址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考核内容</w:t>
            </w:r>
          </w:p>
        </w:tc>
        <w:tc>
          <w:tcPr>
            <w:tcW w:w="4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考核指标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准入条件</w:t>
            </w:r>
          </w:p>
        </w:tc>
        <w:tc>
          <w:tcPr>
            <w:tcW w:w="4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420" w:lineRule="exact"/>
              <w:ind w:firstLine="0"/>
              <w:jc w:val="left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eastAsia="仿宋" w:cs="仿宋"/>
                <w:color w:val="auto"/>
                <w:kern w:val="0"/>
                <w:sz w:val="28"/>
                <w:szCs w:val="28"/>
                <w:lang w:bidi="ar-SA"/>
              </w:rPr>
              <w:t>遵守国家和省市法律、法规、标准和管理条例；</w:t>
            </w:r>
            <w:r>
              <w:rPr>
                <w:rFonts w:hint="eastAsia" w:asci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auto"/>
                <w:kern w:val="0"/>
                <w:sz w:val="28"/>
                <w:szCs w:val="28"/>
                <w:lang w:bidi="ar-SA"/>
              </w:rPr>
              <w:t>年内未发生安全生产事故，未从事违法活动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。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exact"/>
              <w:ind w:left="0" w:firstLine="0"/>
              <w:jc w:val="left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2.具有自然教育功能，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持续开展自然教育活动。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kern w:val="2"/>
                <w:sz w:val="28"/>
                <w:szCs w:val="32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仿宋" w:eastAsia="仿宋" w:cs="仿宋"/>
                <w:kern w:val="2"/>
                <w:sz w:val="28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kern w:val="2"/>
                <w:sz w:val="28"/>
                <w:szCs w:val="32"/>
                <w:lang w:bidi="ar-SA"/>
              </w:rPr>
              <w:t>基本信息</w:t>
            </w:r>
          </w:p>
          <w:p>
            <w:pPr>
              <w:widowControl/>
              <w:jc w:val="left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widowControl w:val="0"/>
              <w:spacing w:line="420" w:lineRule="exact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自然教育之家：教室        间，面积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gridSpan w:val="2"/>
            <w:vMerge w:val="continue"/>
            <w:vAlign w:val="center"/>
          </w:tcPr>
          <w:p/>
        </w:tc>
        <w:tc>
          <w:tcPr>
            <w:tcW w:w="7708" w:type="dxa"/>
            <w:gridSpan w:val="4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自然教育径       条，总长度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15" w:type="dxa"/>
            <w:gridSpan w:val="2"/>
            <w:vMerge w:val="continue"/>
            <w:vAlign w:val="center"/>
          </w:tcPr>
          <w:p/>
        </w:tc>
        <w:tc>
          <w:tcPr>
            <w:tcW w:w="7708" w:type="dxa"/>
            <w:gridSpan w:val="4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导师合计：   人；其中，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 xml:space="preserve">专职导师 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 xml:space="preserve"> 人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兼职导师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gridSpan w:val="2"/>
            <w:vMerge w:val="continue"/>
            <w:vAlign w:val="center"/>
          </w:tcPr>
          <w:p/>
        </w:tc>
        <w:tc>
          <w:tcPr>
            <w:tcW w:w="7708" w:type="dxa"/>
            <w:gridSpan w:val="4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优质、特色自然教育课程        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515" w:type="dxa"/>
            <w:gridSpan w:val="2"/>
            <w:vMerge w:val="continue"/>
            <w:vAlign w:val="center"/>
          </w:tcPr>
          <w:p/>
        </w:tc>
        <w:tc>
          <w:tcPr>
            <w:tcW w:w="7708" w:type="dxa"/>
            <w:gridSpan w:val="4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近5年，访客总人数       万人，其中，</w:t>
            </w:r>
          </w:p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①线下自导式访客  万人；</w:t>
            </w:r>
          </w:p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②线下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 xml:space="preserve">课程活动  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 xml:space="preserve"> 场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参与人数       万人；</w:t>
            </w:r>
          </w:p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③线上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 xml:space="preserve">课程活动  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 xml:space="preserve"> 场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参与人数       万人。</w:t>
            </w:r>
          </w:p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（附活动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信息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参与人数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清单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或相关证明材料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）</w:t>
            </w:r>
          </w:p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6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自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bidi="ar-SA"/>
              </w:rPr>
              <w:t>评项目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证明材料</w:t>
            </w: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  <w:t>基本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要求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管理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体系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8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1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单位主要领导高度重视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自然教育基地建设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，并能定期、及时地研究解决基地建设中存在的问题。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会议纪要等</w:t>
            </w: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2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设置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了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自然教育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专职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部门，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并配有专职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的管理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和讲解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人员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eastAsia="zh-CN" w:bidi="ar-SA"/>
              </w:rPr>
              <w:t>。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文件资料</w:t>
            </w: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3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.自然教育基地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管理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制度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齐全。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文件资料</w:t>
            </w: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4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.制定了科学可行的自然教育发展规划。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规划文本</w:t>
            </w: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5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档案资料齐全，有一套能反映基地功能、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课程活动、访客满意度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等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情况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的文字和影像资料,有专人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负责管理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。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现场核查</w:t>
            </w: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restart"/>
            <w:vAlign w:val="top"/>
          </w:tcPr>
          <w:p>
            <w:pPr>
              <w:widowControl/>
              <w:snapToGrid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专业设施</w:t>
            </w:r>
          </w:p>
        </w:tc>
        <w:tc>
          <w:tcPr>
            <w:tcW w:w="48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建设有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自然教育之家。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档案资料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、现场核查</w:t>
            </w:r>
          </w:p>
        </w:tc>
        <w:tc>
          <w:tcPr>
            <w:tcW w:w="14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建设有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自然教育径。</w:t>
            </w:r>
          </w:p>
        </w:tc>
        <w:tc>
          <w:tcPr>
            <w:tcW w:w="1463" w:type="dxa"/>
            <w:vMerge w:val="continue"/>
            <w:vAlign w:val="center"/>
          </w:tcPr>
          <w:p/>
        </w:tc>
        <w:tc>
          <w:tcPr>
            <w:tcW w:w="14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3.建设有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一套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自然教育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解说系统，包括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但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不限于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自然教育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标识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系统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。</w:t>
            </w:r>
          </w:p>
        </w:tc>
        <w:tc>
          <w:tcPr>
            <w:tcW w:w="1463" w:type="dxa"/>
            <w:vMerge w:val="continue"/>
            <w:vAlign w:val="center"/>
          </w:tcPr>
          <w:p/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课程活动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1.制定了3套以上优质、特色的自然教育课程。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课本、  课件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" w:eastAsia="仿宋" w:cs="仿宋"/>
                <w:kern w:val="2"/>
                <w:sz w:val="28"/>
                <w:szCs w:val="28"/>
                <w:lang w:bidi="ar-SA"/>
              </w:rPr>
              <w:t>积极参加全省统筹开展的自然教育活动，并结合</w:t>
            </w:r>
            <w:r>
              <w:rPr>
                <w:rFonts w:hint="eastAsia" w:ascii="仿宋" w:eastAsia="仿宋" w:cs="仿宋"/>
                <w:kern w:val="2"/>
                <w:sz w:val="28"/>
                <w:szCs w:val="28"/>
                <w:lang w:val="en-US" w:eastAsia="zh-CN" w:bidi="ar-SA"/>
              </w:rPr>
              <w:t>资源禀赋</w:t>
            </w:r>
            <w:r>
              <w:rPr>
                <w:rFonts w:hint="eastAsia" w:ascii="仿宋" w:eastAsia="仿宋" w:cs="仿宋"/>
                <w:kern w:val="2"/>
                <w:sz w:val="28"/>
                <w:szCs w:val="28"/>
                <w:lang w:bidi="ar-SA"/>
              </w:rPr>
              <w:t>开展特色活动。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活动方案、照片、报道等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3.制作了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自然教育宣传资料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访客手册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科普读物、视频影像等。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档案资料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人才队伍</w:t>
            </w:r>
          </w:p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具备专业的自然教育导师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队伍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人员资料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672" w:type="dxa"/>
            <w:vMerge w:val="continue"/>
            <w:tcBorders>
              <w:bottom w:val="nil"/>
            </w:tcBorders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eastAsia="zh-CN" w:bidi="ar-SA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拥有自然教育志愿者队伍，每年不定期开展志愿服务活动。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人员、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活动档案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672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媒体宣传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在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各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级报刊、电视、电台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等主流媒体宣传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报道。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文件资料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2.注重新媒体建设。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文件资料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672" w:type="dxa"/>
            <w:vMerge w:val="restart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加分项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普惠活动</w:t>
            </w:r>
          </w:p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与学校课程相结合，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持续开展自然教育进校园活动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照片、录像等资料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672" w:type="dxa"/>
            <w:vMerge w:val="continue"/>
            <w:textDirection w:val="tbRlV"/>
            <w:vAlign w:val="center"/>
          </w:tcPr>
          <w:p/>
        </w:tc>
        <w:tc>
          <w:tcPr>
            <w:tcW w:w="843" w:type="dxa"/>
            <w:vMerge w:val="continue"/>
            <w:vAlign w:val="center"/>
          </w:tcPr>
          <w:p/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2.制定了一系列</w:t>
            </w:r>
            <w:r>
              <w:rPr>
                <w:rFonts w:hint="eastAsia" w:ascii="仿宋" w:eastAsia="仿宋" w:cs="仿宋"/>
                <w:kern w:val="2"/>
                <w:sz w:val="28"/>
                <w:szCs w:val="28"/>
                <w:lang w:val="en-US" w:eastAsia="zh-CN" w:bidi="ar-SA"/>
              </w:rPr>
              <w:t>惠民政策活动。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文件资料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672" w:type="dxa"/>
            <w:vMerge w:val="continue"/>
            <w:textDirection w:val="tbRlV"/>
            <w:vAlign w:val="center"/>
          </w:tcPr>
          <w:p/>
        </w:tc>
        <w:tc>
          <w:tcPr>
            <w:tcW w:w="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科研建设</w:t>
            </w:r>
          </w:p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与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科研院所及大中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专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院校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合作，开展自然教育研究和课程优化等工作。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文件资料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社会效益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09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在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推动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本地区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自然教育发展中，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发挥示范和推广作用，对本地区自然教育工作做出突出贡献。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文件资料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72" w:type="dxa"/>
            <w:vMerge w:val="continue"/>
            <w:vAlign w:val="center"/>
          </w:tcPr>
          <w:p/>
        </w:tc>
        <w:tc>
          <w:tcPr>
            <w:tcW w:w="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获奖情况</w:t>
            </w:r>
          </w:p>
        </w:tc>
        <w:tc>
          <w:tcPr>
            <w:tcW w:w="4809" w:type="dxa"/>
            <w:gridSpan w:val="2"/>
            <w:vAlign w:val="center"/>
          </w:tcPr>
          <w:p>
            <w:pPr>
              <w:widowControl w:val="0"/>
              <w:spacing w:after="120" w:line="420" w:lineRule="exact"/>
              <w:ind w:firstLine="0"/>
              <w:jc w:val="left"/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获得自然教育类奖项，如优秀基地、优秀课程或教材等。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文件资料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是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bidi="ar-SA"/>
              </w:rPr>
              <w:t>自评</w:t>
            </w:r>
            <w:r>
              <w:rPr>
                <w:rFonts w:hint="eastAsia" w:asci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等级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bidi="ar-SA"/>
              </w:rPr>
            </w:pP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优秀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合格</w:t>
            </w:r>
            <w:r>
              <w:rPr>
                <w:rFonts w:ascii="Wingdings 2" w:hAnsi="Wingdings 2" w:eastAsia="仿宋" w:cs="仿宋"/>
                <w:kern w:val="0"/>
                <w:sz w:val="28"/>
                <w:szCs w:val="28"/>
                <w:lang w:bidi="ar-SA"/>
              </w:rPr>
              <w:t>£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en-US" w:eastAsia="zh-CN" w:bidi="ar-SA"/>
              </w:rPr>
              <w:t>不合格</w:t>
            </w:r>
          </w:p>
        </w:tc>
      </w:tr>
    </w:tbl>
    <w:p>
      <w:pPr>
        <w:widowControl w:val="0"/>
        <w:shd w:val="clear" w:color="auto" w:fill="FFFFFF"/>
        <w:autoSpaceDN w:val="0"/>
        <w:spacing w:before="0" w:beforeAutospacing="0" w:after="0" w:afterAutospacing="0" w:line="360" w:lineRule="auto"/>
        <w:jc w:val="both"/>
        <w:textAlignment w:val="center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hint="eastAsia" w:ascii="仿宋" w:eastAsia="仿宋" w:cs="仿宋"/>
          <w:color w:val="000000"/>
          <w:kern w:val="2"/>
          <w:sz w:val="21"/>
          <w:szCs w:val="21"/>
          <w:lang w:bidi="ar-SA"/>
        </w:rPr>
        <w:t>注：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val="en-US" w:eastAsia="zh-CN" w:bidi="ar-SA"/>
        </w:rPr>
        <w:t>基地考核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bidi="ar-SA"/>
        </w:rPr>
        <w:t>评分根据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val="en-US" w:eastAsia="zh-CN" w:bidi="ar-SA"/>
        </w:rPr>
        <w:t>考核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bidi="ar-SA"/>
        </w:rPr>
        <w:t>自评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val="en-US" w:eastAsia="zh-CN" w:bidi="ar-SA"/>
        </w:rPr>
        <w:t>表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bidi="ar-SA"/>
        </w:rPr>
        <w:t>、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val="en-US" w:eastAsia="zh-CN" w:bidi="ar-SA"/>
        </w:rPr>
        <w:t>佐证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bidi="ar-SA"/>
        </w:rPr>
        <w:t>材料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eastAsia="zh-CN" w:bidi="ar-SA"/>
        </w:rPr>
        <w:t>、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val="en-US" w:eastAsia="zh-CN" w:bidi="ar-SA"/>
        </w:rPr>
        <w:t>现场考评等，</w:t>
      </w:r>
      <w:r>
        <w:rPr>
          <w:rFonts w:hint="eastAsia" w:ascii="仿宋" w:eastAsia="仿宋" w:cs="仿宋"/>
          <w:color w:val="000000"/>
          <w:kern w:val="2"/>
          <w:sz w:val="21"/>
          <w:szCs w:val="21"/>
          <w:lang w:bidi="ar-SA"/>
        </w:rPr>
        <w:t>综合考量。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1612F"/>
    <w:rsid w:val="7E5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2023-02-08T08:39:00Z</dcterms:created>
  <dc:creator>唐洁</dc:creator>
  <cp:lastModifiedBy>唐洁</cp:lastModifiedBy>
  <dcterms:modified xsi:type="dcterms:W3CDTF">2023-02-08T08:40:01Z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