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jc w:val="center"/>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松材线虫病疫木加工板材定点</w:t>
      </w:r>
    </w:p>
    <w:p>
      <w:pPr>
        <w:widowControl/>
        <w:shd w:val="clear" w:color="auto" w:fill="FFFFFF"/>
        <w:spacing w:line="360" w:lineRule="atLeast"/>
        <w:jc w:val="center"/>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加工企业审批</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一、项目信息</w:t>
      </w:r>
    </w:p>
    <w:p>
      <w:pPr>
        <w:widowControl/>
        <w:shd w:val="clear" w:color="auto" w:fill="FFFFFF"/>
        <w:spacing w:line="480" w:lineRule="atLeast"/>
        <w:ind w:firstLine="644" w:firstLineChars="200"/>
        <w:jc w:val="left"/>
        <w:rPr>
          <w:rFonts w:cs="宋体" w:asciiTheme="minorEastAsia" w:hAnsiTheme="minorEastAsia"/>
          <w:spacing w:val="-4"/>
          <w:kern w:val="0"/>
          <w:sz w:val="33"/>
          <w:szCs w:val="33"/>
        </w:rPr>
      </w:pPr>
      <w:r>
        <w:rPr>
          <w:rFonts w:hint="eastAsia" w:cs="宋体" w:asciiTheme="minorEastAsia" w:hAnsiTheme="minorEastAsia"/>
          <w:spacing w:val="-4"/>
          <w:kern w:val="0"/>
          <w:sz w:val="33"/>
          <w:szCs w:val="33"/>
        </w:rPr>
        <w:t>项目名称：松材线虫病疫木加工板材定点加工企业审批</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审批类别：行政许可</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项目编码：000164210000</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二、适用范围</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本指南适用于从事木材经营加工企业的《松材线虫病疫木加工板材定点加工企业许可证》的申请和办理。</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三、办理依据</w:t>
      </w:r>
    </w:p>
    <w:p>
      <w:pPr>
        <w:widowControl/>
        <w:shd w:val="clear" w:color="auto" w:fill="FFFFFF"/>
        <w:spacing w:line="480" w:lineRule="atLeast"/>
        <w:ind w:firstLine="662" w:firstLineChars="200"/>
        <w:jc w:val="left"/>
        <w:rPr>
          <w:rFonts w:ascii="方正仿宋_GBK" w:eastAsia="方正仿宋_GBK" w:cs="宋体" w:hAnsiTheme="minorEastAsia"/>
          <w:kern w:val="0"/>
          <w:sz w:val="33"/>
          <w:szCs w:val="33"/>
        </w:rPr>
      </w:pPr>
      <w:r>
        <w:rPr>
          <w:rFonts w:hint="eastAsia" w:ascii="方正仿宋_GBK" w:eastAsia="方正仿宋_GBK" w:cs="宋体" w:hAnsiTheme="minorEastAsia"/>
          <w:b/>
          <w:bCs/>
          <w:kern w:val="0"/>
          <w:sz w:val="33"/>
          <w:szCs w:val="33"/>
        </w:rPr>
        <w:t>（一）设立依据</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《国务院对确需保留的行政审批项目设定行政许可的决定》</w:t>
      </w:r>
    </w:p>
    <w:p>
      <w:pPr>
        <w:widowControl/>
        <w:shd w:val="clear" w:color="auto" w:fill="FFFFFF"/>
        <w:spacing w:line="480" w:lineRule="atLeast"/>
        <w:ind w:firstLine="662" w:firstLineChars="200"/>
        <w:jc w:val="left"/>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（二）实施依据</w:t>
      </w:r>
    </w:p>
    <w:p>
      <w:pPr>
        <w:widowControl/>
        <w:shd w:val="clear" w:color="auto" w:fill="FFFFFF"/>
        <w:spacing w:line="480" w:lineRule="atLeast"/>
        <w:ind w:firstLine="636" w:firstLineChars="200"/>
        <w:jc w:val="left"/>
        <w:rPr>
          <w:rFonts w:cs="宋体" w:asciiTheme="minorEastAsia" w:hAnsiTheme="minorEastAsia"/>
          <w:spacing w:val="-6"/>
          <w:kern w:val="0"/>
          <w:sz w:val="33"/>
          <w:szCs w:val="33"/>
        </w:rPr>
      </w:pPr>
      <w:r>
        <w:rPr>
          <w:rFonts w:hint="eastAsia" w:cs="宋体" w:asciiTheme="minorEastAsia" w:hAnsiTheme="minorEastAsia"/>
          <w:spacing w:val="-6"/>
          <w:kern w:val="0"/>
          <w:sz w:val="33"/>
          <w:szCs w:val="33"/>
        </w:rPr>
        <w:t>《松材线虫病疫木加工板材定点加工企业审批管理办法》</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四、受理机构</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国家林业和草原局政务服务中心</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五、办理机构</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国家林业和草原局生态保护修复司</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六、审批数量</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无数量限制</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七、许可条件</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1.</w:t>
      </w:r>
      <w:r>
        <w:rPr>
          <w:rFonts w:cs="宋体" w:asciiTheme="minorEastAsia" w:hAnsiTheme="minorEastAsia"/>
          <w:bCs/>
          <w:kern w:val="0"/>
          <w:sz w:val="33"/>
          <w:szCs w:val="33"/>
        </w:rPr>
        <w:t>具有符合</w:t>
      </w:r>
      <w:r>
        <w:rPr>
          <w:rFonts w:hint="eastAsia" w:cs="宋体" w:asciiTheme="minorEastAsia" w:hAnsiTheme="minorEastAsia"/>
          <w:bCs/>
          <w:kern w:val="0"/>
          <w:sz w:val="33"/>
          <w:szCs w:val="33"/>
        </w:rPr>
        <w:t>疫木加工板材要求和标准的生产设施。</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2.疫木板材加工工艺流程符合疫木除害处理要求。</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3.疫木板材加工管理措施和制度健全。</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八、申请材料</w:t>
      </w:r>
    </w:p>
    <w:tbl>
      <w:tblPr>
        <w:tblStyle w:val="7"/>
        <w:tblW w:w="10412" w:type="dxa"/>
        <w:tblInd w:w="-1059" w:type="dxa"/>
        <w:tblLayout w:type="fixed"/>
        <w:tblCellMar>
          <w:top w:w="0" w:type="dxa"/>
          <w:left w:w="0" w:type="dxa"/>
          <w:bottom w:w="0" w:type="dxa"/>
          <w:right w:w="0" w:type="dxa"/>
        </w:tblCellMar>
      </w:tblPr>
      <w:tblGrid>
        <w:gridCol w:w="687"/>
        <w:gridCol w:w="3225"/>
        <w:gridCol w:w="1525"/>
        <w:gridCol w:w="4050"/>
        <w:gridCol w:w="925"/>
      </w:tblGrid>
      <w:tr>
        <w:tblPrEx>
          <w:tblCellMar>
            <w:top w:w="0" w:type="dxa"/>
            <w:left w:w="0" w:type="dxa"/>
            <w:bottom w:w="0" w:type="dxa"/>
            <w:right w:w="0" w:type="dxa"/>
          </w:tblCellMar>
        </w:tblPrEx>
        <w:tc>
          <w:tcPr>
            <w:tcW w:w="6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32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b/>
                <w:bCs/>
                <w:kern w:val="0"/>
                <w:sz w:val="33"/>
                <w:szCs w:val="33"/>
              </w:rPr>
              <w:t>提交材料名称</w:t>
            </w:r>
          </w:p>
        </w:tc>
        <w:tc>
          <w:tcPr>
            <w:tcW w:w="15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b/>
                <w:bCs/>
                <w:kern w:val="0"/>
                <w:sz w:val="33"/>
                <w:szCs w:val="33"/>
              </w:rPr>
              <w:t>原件/复印件</w:t>
            </w:r>
          </w:p>
        </w:tc>
        <w:tc>
          <w:tcPr>
            <w:tcW w:w="40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b/>
                <w:bCs/>
                <w:kern w:val="0"/>
                <w:sz w:val="33"/>
                <w:szCs w:val="33"/>
              </w:rPr>
              <w:t>要求</w:t>
            </w:r>
          </w:p>
        </w:tc>
        <w:tc>
          <w:tcPr>
            <w:tcW w:w="9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b/>
                <w:bCs/>
                <w:kern w:val="0"/>
                <w:sz w:val="33"/>
                <w:szCs w:val="33"/>
              </w:rPr>
              <w:t>备注</w:t>
            </w:r>
          </w:p>
        </w:tc>
      </w:tr>
      <w:tr>
        <w:tblPrEx>
          <w:tblCellMar>
            <w:top w:w="0" w:type="dxa"/>
            <w:left w:w="0" w:type="dxa"/>
            <w:bottom w:w="0" w:type="dxa"/>
            <w:right w:w="0" w:type="dxa"/>
          </w:tblCellMar>
        </w:tblPrEx>
        <w:tc>
          <w:tcPr>
            <w:tcW w:w="6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1</w:t>
            </w:r>
          </w:p>
        </w:tc>
        <w:tc>
          <w:tcPr>
            <w:tcW w:w="32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申请报告和申请表</w:t>
            </w:r>
            <w:bookmarkStart w:id="0" w:name="_GoBack"/>
            <w:bookmarkEnd w:id="0"/>
          </w:p>
        </w:tc>
        <w:tc>
          <w:tcPr>
            <w:tcW w:w="15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0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rPr>
                <w:rFonts w:cs="宋体" w:asciiTheme="minorEastAsia" w:hAnsiTheme="minorEastAsia"/>
                <w:kern w:val="0"/>
                <w:sz w:val="33"/>
                <w:szCs w:val="33"/>
              </w:rPr>
            </w:pPr>
            <w:r>
              <w:rPr>
                <w:rFonts w:hint="eastAsia" w:cs="宋体" w:asciiTheme="minorEastAsia" w:hAnsiTheme="minorEastAsia"/>
                <w:kern w:val="0"/>
                <w:sz w:val="33"/>
                <w:szCs w:val="33"/>
              </w:rPr>
              <w:t>1. 联系人的联系方式填写手机和固定电话。</w:t>
            </w:r>
          </w:p>
          <w:p>
            <w:pPr>
              <w:widowControl/>
              <w:spacing w:line="360" w:lineRule="atLeast"/>
              <w:rPr>
                <w:rFonts w:cs="宋体" w:asciiTheme="minorEastAsia" w:hAnsiTheme="minorEastAsia"/>
                <w:kern w:val="0"/>
                <w:sz w:val="33"/>
                <w:szCs w:val="33"/>
              </w:rPr>
            </w:pPr>
            <w:r>
              <w:rPr>
                <w:rFonts w:hint="eastAsia" w:cs="宋体" w:asciiTheme="minorEastAsia" w:hAnsiTheme="minorEastAsia"/>
                <w:kern w:val="0"/>
                <w:sz w:val="33"/>
                <w:szCs w:val="33"/>
              </w:rPr>
              <w:t>2. 备注中应注明疫木加工板材企业所在的县级行政区为松材线虫病发生区。</w:t>
            </w:r>
          </w:p>
        </w:tc>
        <w:tc>
          <w:tcPr>
            <w:tcW w:w="9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jc w:val="center"/>
              <w:rPr>
                <w:rFonts w:cs="宋体" w:asciiTheme="minorEastAsia" w:hAnsiTheme="minorEastAsia"/>
                <w:kern w:val="0"/>
                <w:sz w:val="33"/>
                <w:szCs w:val="33"/>
              </w:rPr>
            </w:pPr>
          </w:p>
        </w:tc>
      </w:tr>
      <w:tr>
        <w:tblPrEx>
          <w:tblCellMar>
            <w:top w:w="0" w:type="dxa"/>
            <w:left w:w="0" w:type="dxa"/>
            <w:bottom w:w="0" w:type="dxa"/>
            <w:right w:w="0" w:type="dxa"/>
          </w:tblCellMar>
        </w:tblPrEx>
        <w:tc>
          <w:tcPr>
            <w:tcW w:w="6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2</w:t>
            </w:r>
          </w:p>
        </w:tc>
        <w:tc>
          <w:tcPr>
            <w:tcW w:w="32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具有符合疫木加工板材要求和标准的生产设施的材料</w:t>
            </w:r>
          </w:p>
        </w:tc>
        <w:tc>
          <w:tcPr>
            <w:tcW w:w="15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40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p>
        </w:tc>
        <w:tc>
          <w:tcPr>
            <w:tcW w:w="9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r>
        <w:tblPrEx>
          <w:tblCellMar>
            <w:top w:w="0" w:type="dxa"/>
            <w:left w:w="0" w:type="dxa"/>
            <w:bottom w:w="0" w:type="dxa"/>
            <w:right w:w="0" w:type="dxa"/>
          </w:tblCellMar>
        </w:tblPrEx>
        <w:tc>
          <w:tcPr>
            <w:tcW w:w="6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3</w:t>
            </w:r>
          </w:p>
        </w:tc>
        <w:tc>
          <w:tcPr>
            <w:tcW w:w="32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疫木板材加工工艺流程符合疫木除害处理要求的材料</w:t>
            </w:r>
          </w:p>
        </w:tc>
        <w:tc>
          <w:tcPr>
            <w:tcW w:w="15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40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p>
        </w:tc>
        <w:tc>
          <w:tcPr>
            <w:tcW w:w="9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r>
        <w:tblPrEx>
          <w:tblCellMar>
            <w:top w:w="0" w:type="dxa"/>
            <w:left w:w="0" w:type="dxa"/>
            <w:bottom w:w="0" w:type="dxa"/>
            <w:right w:w="0" w:type="dxa"/>
          </w:tblCellMar>
        </w:tblPrEx>
        <w:trPr>
          <w:trHeight w:val="555" w:hRule="atLeast"/>
        </w:trPr>
        <w:tc>
          <w:tcPr>
            <w:tcW w:w="6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4</w:t>
            </w:r>
          </w:p>
        </w:tc>
        <w:tc>
          <w:tcPr>
            <w:tcW w:w="32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疫木板材加工管理措施和制度健全的材料</w:t>
            </w:r>
          </w:p>
        </w:tc>
        <w:tc>
          <w:tcPr>
            <w:tcW w:w="15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6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40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c>
          <w:tcPr>
            <w:tcW w:w="9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bl>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九、申请接收</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网上办理</w:t>
      </w:r>
    </w:p>
    <w:p>
      <w:pPr>
        <w:spacing w:line="600" w:lineRule="exact"/>
        <w:ind w:firstLine="660" w:firstLineChars="200"/>
        <w:jc w:val="left"/>
        <w:rPr>
          <w:rFonts w:cs="方正仿宋_GBK" w:asciiTheme="minorEastAsia" w:hAnsiTheme="minorEastAsia"/>
          <w:sz w:val="33"/>
          <w:szCs w:val="33"/>
        </w:rPr>
      </w:pPr>
      <w:r>
        <w:rPr>
          <w:rFonts w:hint="eastAsia" w:cs="宋体" w:asciiTheme="minorEastAsia" w:hAnsiTheme="minorEastAsia"/>
          <w:kern w:val="0"/>
          <w:sz w:val="33"/>
          <w:szCs w:val="33"/>
        </w:rPr>
        <w:t>1.</w:t>
      </w:r>
      <w:r>
        <w:rPr>
          <w:rFonts w:cs="方正仿宋_GBK" w:asciiTheme="minorEastAsia" w:hAnsiTheme="minorEastAsia"/>
          <w:sz w:val="33"/>
          <w:szCs w:val="33"/>
        </w:rPr>
        <w:t>国家林业和草原局政府网：http://www.forestry.gov.cn/中的“行政审批”</w:t>
      </w:r>
    </w:p>
    <w:p>
      <w:pPr>
        <w:spacing w:line="600" w:lineRule="exac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2.</w:t>
      </w:r>
      <w:r>
        <w:rPr>
          <w:rFonts w:cs="方正仿宋_GBK" w:asciiTheme="minorEastAsia" w:hAnsiTheme="minorEastAsia"/>
          <w:sz w:val="33"/>
          <w:szCs w:val="33"/>
        </w:rPr>
        <w:t xml:space="preserve">国家林业和草原局网上行政审批平台网址： </w:t>
      </w:r>
      <w:r>
        <w:rPr>
          <w:rFonts w:asciiTheme="minorEastAsia" w:hAnsiTheme="minorEastAsia"/>
          <w:sz w:val="33"/>
          <w:szCs w:val="33"/>
        </w:rPr>
        <w:t>https://ydbg.forestry.gov.cn/adminapproval/</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十、办理流程</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1）受理</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2）审查（部分情况下开展专家评审；部分情况下开展现场勘验）</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3）决定</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4）送达</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十一、办理时限</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受理时限：5个工作日。</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审批时限：20个工作日。依法进行专家评审另需时间不计算在该时限。</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十二、审批结果</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行政许可决定书</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1.审批结果的有效期限：无期限</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2.审批结果的有效地域范围：全国</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十三、结果送达</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作出行政许可决定之日起10个工作日内，通过</w:t>
      </w:r>
      <w:r>
        <w:rPr>
          <w:rFonts w:hint="eastAsia" w:ascii="宋体" w:hAnsi="宋体" w:eastAsia="宋体" w:cs="宋体"/>
          <w:kern w:val="0"/>
          <w:sz w:val="33"/>
          <w:szCs w:val="33"/>
        </w:rPr>
        <w:t>网上送达、</w:t>
      </w:r>
      <w:r>
        <w:rPr>
          <w:rFonts w:hint="eastAsia" w:cs="宋体" w:asciiTheme="minorEastAsia" w:hAnsiTheme="minorEastAsia"/>
          <w:kern w:val="0"/>
          <w:sz w:val="33"/>
          <w:szCs w:val="33"/>
        </w:rPr>
        <w:t>直接送达或邮寄方式将行政许可决定文件送达申请人。</w:t>
      </w:r>
    </w:p>
    <w:p>
      <w:pPr>
        <w:widowControl/>
        <w:shd w:val="clear" w:color="auto" w:fill="FFFFFF"/>
        <w:spacing w:line="480" w:lineRule="atLeast"/>
        <w:ind w:firstLine="662" w:firstLineChars="200"/>
        <w:rPr>
          <w:rFonts w:cs="宋体" w:asciiTheme="minorEastAsia" w:hAnsiTheme="minorEastAsia"/>
          <w:b/>
          <w:bCs/>
          <w:kern w:val="0"/>
          <w:sz w:val="33"/>
          <w:szCs w:val="33"/>
        </w:rPr>
      </w:pPr>
      <w:r>
        <w:rPr>
          <w:rFonts w:hint="eastAsia" w:cs="宋体" w:asciiTheme="minorEastAsia" w:hAnsiTheme="minorEastAsia"/>
          <w:b/>
          <w:bCs/>
          <w:kern w:val="0"/>
          <w:sz w:val="33"/>
          <w:szCs w:val="33"/>
        </w:rPr>
        <w:t>十四、审批收费依据及标准</w:t>
      </w:r>
    </w:p>
    <w:p>
      <w:pPr>
        <w:widowControl/>
        <w:shd w:val="clear" w:color="auto" w:fill="FFFFFF"/>
        <w:spacing w:line="480" w:lineRule="atLeast"/>
        <w:ind w:firstLine="660" w:firstLineChars="200"/>
        <w:rPr>
          <w:rFonts w:cs="宋体" w:asciiTheme="minorEastAsia" w:hAnsiTheme="minorEastAsia"/>
          <w:bCs/>
          <w:kern w:val="0"/>
          <w:sz w:val="33"/>
          <w:szCs w:val="33"/>
        </w:rPr>
      </w:pPr>
      <w:r>
        <w:rPr>
          <w:rFonts w:hint="eastAsia" w:cs="宋体" w:asciiTheme="minorEastAsia" w:hAnsiTheme="minorEastAsia"/>
          <w:bCs/>
          <w:kern w:val="0"/>
          <w:sz w:val="33"/>
          <w:szCs w:val="33"/>
        </w:rPr>
        <w:t>不收费</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十五、申请人权利和义务</w:t>
      </w:r>
    </w:p>
    <w:p>
      <w:pPr>
        <w:widowControl/>
        <w:shd w:val="clear" w:color="auto" w:fill="FFFFFF"/>
        <w:spacing w:line="480" w:lineRule="atLeast"/>
        <w:ind w:firstLine="662" w:firstLineChars="200"/>
        <w:jc w:val="left"/>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（一）依据《中华人民共和国行政许可法》，申请人依法享有以下权利：</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1.平等取得行政许可权；</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2.陈述权；</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3.申辩权；</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4.申请行政复议的权利；</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5.提起行政诉讼的权利；</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6.合法权益因行政机关违法实施行政许可受到损害的，有依法要求赔偿的权利；</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7.知情权；</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8.要求听证权；</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9.法律法规规定的其他权利。</w:t>
      </w:r>
    </w:p>
    <w:p>
      <w:pPr>
        <w:widowControl/>
        <w:shd w:val="clear" w:color="auto" w:fill="FFFFFF"/>
        <w:spacing w:line="480" w:lineRule="atLeast"/>
        <w:ind w:firstLine="662" w:firstLineChars="200"/>
        <w:jc w:val="left"/>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（二）依据《中华人民共和国行政许可法》，申请人依法履行以下义务：</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1.向行政机关提交与申请有关的材料；</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2.反映真实情况；</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3.按照《松材线虫病疫木加工板材定点加工企业许可证》的规定及有关法律法规规定开展经营活动；</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4.接受监督检查；</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5.法律法规规定的其他义务。</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十六、咨询途径</w:t>
      </w:r>
    </w:p>
    <w:p>
      <w:pPr>
        <w:widowControl/>
        <w:shd w:val="clear" w:color="auto" w:fill="FFFFFF"/>
        <w:spacing w:line="480" w:lineRule="atLeast"/>
        <w:ind w:firstLine="662" w:firstLineChars="200"/>
        <w:jc w:val="left"/>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（一）窗口咨询</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部门名称：国家林业和草原局政务服务中心</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地址：北京市东城区和平里东街18号</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联系电话：（010）84239633</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ascii="方正仿宋_GBK" w:eastAsia="方正仿宋_GBK" w:cs="宋体" w:hAnsiTheme="minorEastAsia"/>
          <w:b/>
          <w:bCs/>
          <w:kern w:val="0"/>
          <w:sz w:val="33"/>
          <w:szCs w:val="33"/>
        </w:rPr>
        <w:t>（二）电话咨询：</w:t>
      </w:r>
      <w:r>
        <w:rPr>
          <w:rFonts w:hint="eastAsia" w:cs="宋体" w:asciiTheme="minorEastAsia" w:hAnsiTheme="minorEastAsia"/>
          <w:kern w:val="0"/>
          <w:sz w:val="33"/>
          <w:szCs w:val="33"/>
        </w:rPr>
        <w:t>（010）84239633</w:t>
      </w:r>
    </w:p>
    <w:p>
      <w:pPr>
        <w:widowControl/>
        <w:shd w:val="clear" w:color="auto" w:fill="FFFFFF"/>
        <w:spacing w:line="480" w:lineRule="atLeast"/>
        <w:ind w:firstLine="662" w:firstLineChars="200"/>
        <w:jc w:val="left"/>
        <w:rPr>
          <w:rFonts w:ascii="方正仿宋_GBK" w:eastAsia="方正仿宋_GBK" w:cs="宋体" w:hAnsiTheme="minorEastAsia"/>
          <w:b/>
          <w:bCs/>
          <w:kern w:val="0"/>
          <w:sz w:val="33"/>
          <w:szCs w:val="33"/>
        </w:rPr>
      </w:pPr>
      <w:r>
        <w:rPr>
          <w:rFonts w:hint="eastAsia" w:ascii="方正仿宋_GBK" w:eastAsia="方正仿宋_GBK" w:cs="宋体" w:hAnsiTheme="minorEastAsia"/>
          <w:b/>
          <w:bCs/>
          <w:kern w:val="0"/>
          <w:sz w:val="33"/>
          <w:szCs w:val="33"/>
        </w:rPr>
        <w:t>（三）信函咨询:</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咨询部门名称：国家林业和草原局政务服务中心</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通讯地址：北京市东城区和平里东街18号</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联系电话：（010）84239633</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十七、监督和投诉渠道</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部门名称：国家林业和草原局直属机关纪委 </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联系电话：（010）64213811</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地址：北京市东城区和平里东街18号</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480" w:lineRule="atLeast"/>
        <w:ind w:firstLine="662" w:firstLineChars="200"/>
        <w:rPr>
          <w:rFonts w:cs="宋体" w:asciiTheme="minorEastAsia" w:hAnsiTheme="minorEastAsia"/>
          <w:kern w:val="0"/>
          <w:sz w:val="33"/>
          <w:szCs w:val="33"/>
        </w:rPr>
      </w:pPr>
      <w:r>
        <w:rPr>
          <w:rFonts w:hint="eastAsia" w:cs="宋体" w:asciiTheme="minorEastAsia" w:hAnsiTheme="minorEastAsia"/>
          <w:b/>
          <w:bCs/>
          <w:kern w:val="0"/>
          <w:sz w:val="33"/>
          <w:szCs w:val="33"/>
        </w:rPr>
        <w:t>十八、公开查询</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自受理之日起20个工作日后，可通过</w:t>
      </w:r>
      <w:r>
        <w:rPr>
          <w:rFonts w:hint="eastAsia" w:ascii="宋体" w:hAnsi="宋体" w:eastAsia="宋体" w:cs="宋体"/>
          <w:kern w:val="0"/>
          <w:sz w:val="33"/>
          <w:szCs w:val="33"/>
        </w:rPr>
        <w:t>以下途径查询：</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1.打开国家林业和草原局政府网</w:t>
      </w:r>
      <w:r>
        <w:rPr>
          <w:rFonts w:ascii="宋体" w:hAnsi="宋体" w:eastAsia="宋体" w:cs="宋体"/>
          <w:kern w:val="0"/>
          <w:sz w:val="33"/>
          <w:szCs w:val="33"/>
          <w:u w:val="single"/>
        </w:rPr>
        <w:t>http://www.forestry.gov.cn/</w:t>
      </w:r>
      <w:r>
        <w:rPr>
          <w:rFonts w:hint="eastAsia" w:cs="宋体" w:asciiTheme="minorEastAsia" w:hAnsiTheme="minorEastAsia"/>
          <w:kern w:val="0"/>
          <w:sz w:val="33"/>
          <w:szCs w:val="33"/>
        </w:rPr>
        <w:t>点击右</w:t>
      </w:r>
      <w:r>
        <w:rPr>
          <w:rFonts w:hint="eastAsia" w:ascii="宋体" w:hAnsi="宋体" w:eastAsia="宋体" w:cs="宋体"/>
          <w:kern w:val="0"/>
          <w:sz w:val="33"/>
          <w:szCs w:val="33"/>
        </w:rPr>
        <w:t>侧</w:t>
      </w:r>
      <w:r>
        <w:rPr>
          <w:rFonts w:hint="eastAsia" w:cs="宋体" w:asciiTheme="minorEastAsia" w:hAnsiTheme="minorEastAsia"/>
          <w:kern w:val="0"/>
          <w:sz w:val="33"/>
          <w:szCs w:val="33"/>
        </w:rPr>
        <w:t>的“行政审批”。</w:t>
      </w:r>
    </w:p>
    <w:p>
      <w:pPr>
        <w:widowControl/>
        <w:shd w:val="clear" w:color="auto" w:fill="FFFFFF"/>
        <w:spacing w:line="480" w:lineRule="atLeast"/>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2.直接点击国家林业和草原局网上行政审批平台网址</w:t>
      </w:r>
      <w:r>
        <w:rPr>
          <w:rFonts w:ascii="宋体" w:hAnsi="宋体" w:eastAsia="宋体" w:cs="宋体"/>
          <w:spacing w:val="-6"/>
          <w:kern w:val="0"/>
          <w:sz w:val="33"/>
          <w:szCs w:val="33"/>
          <w:u w:val="single"/>
        </w:rPr>
        <w:t>https://ydbg.forestry.gov.cn/adminapproval/</w:t>
      </w:r>
      <w:r>
        <w:rPr>
          <w:rFonts w:hint="eastAsia" w:cs="宋体" w:asciiTheme="minorEastAsia" w:hAnsiTheme="minorEastAsia"/>
          <w:spacing w:val="-6"/>
          <w:kern w:val="0"/>
          <w:sz w:val="33"/>
          <w:szCs w:val="33"/>
        </w:rPr>
        <w:t>查询审批状态和结果。</w:t>
      </w:r>
    </w:p>
    <w:p>
      <w:pPr>
        <w:widowControl/>
        <w:shd w:val="clear" w:color="auto" w:fill="FFFFFF"/>
        <w:ind w:firstLine="660" w:firstLineChars="200"/>
        <w:rPr>
          <w:rFonts w:cs="宋体" w:asciiTheme="minorEastAsia" w:hAnsiTheme="minorEastAsia"/>
          <w:kern w:val="0"/>
          <w:sz w:val="33"/>
          <w:szCs w:val="33"/>
        </w:rPr>
      </w:pPr>
    </w:p>
    <w:p>
      <w:pPr>
        <w:widowControl/>
        <w:shd w:val="clear" w:color="auto" w:fill="FFFFFF"/>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附表</w:t>
      </w:r>
    </w:p>
    <w:p>
      <w:pPr>
        <w:widowControl/>
        <w:numPr>
          <w:ilvl w:val="0"/>
          <w:numId w:val="1"/>
        </w:numPr>
        <w:shd w:val="clear" w:color="auto" w:fill="FFFFFF"/>
        <w:ind w:left="0" w:firstLine="420" w:firstLineChars="200"/>
      </w:pPr>
      <w:r>
        <w:fldChar w:fldCharType="begin"/>
      </w:r>
      <w:r>
        <w:instrText xml:space="preserve"> HYPERLINK "javascript:void(0);" </w:instrText>
      </w:r>
      <w:r>
        <w:fldChar w:fldCharType="separate"/>
      </w:r>
      <w:r>
        <w:rPr>
          <w:rFonts w:hint="eastAsia" w:cs="宋体" w:asciiTheme="minorEastAsia" w:hAnsiTheme="minorEastAsia"/>
          <w:kern w:val="0"/>
          <w:sz w:val="33"/>
          <w:szCs w:val="33"/>
        </w:rPr>
        <w:t>松材线虫病疫木加工板材定点加工企业申请表</w:t>
      </w:r>
      <w:r>
        <w:rPr>
          <w:rFonts w:hint="eastAsia" w:cs="宋体" w:asciiTheme="minorEastAsia" w:hAnsiTheme="minorEastAsia"/>
          <w:kern w:val="0"/>
          <w:sz w:val="33"/>
          <w:szCs w:val="33"/>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仿宋_GBK">
    <w:panose1 w:val="02000000000000000000"/>
    <w:charset w:val="86"/>
    <w:family w:val="script"/>
    <w:pitch w:val="default"/>
    <w:sig w:usb0="00000001" w:usb1="08000000" w:usb2="00000000" w:usb3="00000000" w:csb0="00040000" w:csb1="00000000"/>
  </w:font>
  <w:font w:name="Courier New">
    <w:altName w:val="DejaVu Sans"/>
    <w:panose1 w:val="02070309020205020404"/>
    <w:charset w:val="00"/>
    <w:family w:val="modern"/>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124884"/>
    <w:multiLevelType w:val="multilevel"/>
    <w:tmpl w:val="4A12488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wYTgyOTI3ZDVlODBlNGE3NTBkNGIyZTg1NzUzNjIifQ=="/>
  </w:docVars>
  <w:rsids>
    <w:rsidRoot w:val="004A1872"/>
    <w:rsid w:val="000422A1"/>
    <w:rsid w:val="0007137F"/>
    <w:rsid w:val="00163656"/>
    <w:rsid w:val="002021DE"/>
    <w:rsid w:val="00293AF3"/>
    <w:rsid w:val="00330A9F"/>
    <w:rsid w:val="00397CEC"/>
    <w:rsid w:val="00463A01"/>
    <w:rsid w:val="00471E62"/>
    <w:rsid w:val="004A1872"/>
    <w:rsid w:val="004F0955"/>
    <w:rsid w:val="004F7FD1"/>
    <w:rsid w:val="00513334"/>
    <w:rsid w:val="005B688C"/>
    <w:rsid w:val="0061232F"/>
    <w:rsid w:val="00691C17"/>
    <w:rsid w:val="006B4749"/>
    <w:rsid w:val="007237D9"/>
    <w:rsid w:val="00802338"/>
    <w:rsid w:val="009150B3"/>
    <w:rsid w:val="00967BE0"/>
    <w:rsid w:val="00A62A8E"/>
    <w:rsid w:val="00AD40FD"/>
    <w:rsid w:val="00C15A10"/>
    <w:rsid w:val="00C27573"/>
    <w:rsid w:val="00C535D8"/>
    <w:rsid w:val="00C759A6"/>
    <w:rsid w:val="00C75C24"/>
    <w:rsid w:val="00CB6A8D"/>
    <w:rsid w:val="00CE3A55"/>
    <w:rsid w:val="00D80BF6"/>
    <w:rsid w:val="00E26E75"/>
    <w:rsid w:val="00EC691B"/>
    <w:rsid w:val="00FC01CE"/>
    <w:rsid w:val="2E9A1A5F"/>
    <w:rsid w:val="4683150D"/>
    <w:rsid w:val="6C7CE5C0"/>
    <w:rsid w:val="77FF8032"/>
    <w:rsid w:val="7EFFA898"/>
    <w:rsid w:val="7FFFFB9F"/>
    <w:rsid w:val="83DBFCBC"/>
    <w:rsid w:val="BB2DF259"/>
    <w:rsid w:val="BF899E2B"/>
    <w:rsid w:val="D7ED074A"/>
    <w:rsid w:val="FBE64BB4"/>
    <w:rsid w:val="FDDCF95A"/>
    <w:rsid w:val="FFFEB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48"/>
      <w:szCs w:val="48"/>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Pages>
  <Words>252</Words>
  <Characters>1438</Characters>
  <Lines>11</Lines>
  <Paragraphs>3</Paragraphs>
  <TotalTime>10</TotalTime>
  <ScaleCrop>false</ScaleCrop>
  <LinksUpToDate>false</LinksUpToDate>
  <CharactersWithSpaces>1687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2023-01-12T21:55:00Z</dcterms:created>
  <dc:creator>zc</dc:creator>
  <cp:lastModifiedBy>gjlcjbgw</cp:lastModifiedBy>
  <dcterms:modified xsi:type="dcterms:W3CDTF">2023-04-23T08:53:34Z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B9AB7B2E45F34BA6AF4016C069874E92_12</vt:lpwstr>
  </property>
</Properties>
</file>