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221" w:lineRule="auto"/>
        <w:jc w:val="center"/>
        <w:rPr>
          <w:rFonts w:ascii="Times New Roman" w:hAnsi="Times New Roman" w:eastAsia="仿宋" w:cs="Times New Roman"/>
          <w:spacing w:val="16"/>
          <w:sz w:val="44"/>
          <w:szCs w:val="44"/>
          <w14:textOutline w14:w="7962" w14:cap="flat" w14:cmpd="sng" w14:algn="ctr">
            <w14:solidFill>
              <w14:srgbClr w14:val="000000"/>
            </w14:solidFill>
            <w14:prstDash w14:val="solid"/>
            <w14:miter w14:val="0"/>
          </w14:textOutline>
        </w:rPr>
      </w:pPr>
    </w:p>
    <w:p>
      <w:pPr>
        <w:spacing w:before="143" w:line="221" w:lineRule="auto"/>
        <w:jc w:val="center"/>
        <w:rPr>
          <w:rFonts w:ascii="Times New Roman" w:hAnsi="Times New Roman" w:eastAsia="仿宋" w:cs="Times New Roman"/>
          <w:spacing w:val="16"/>
          <w:sz w:val="44"/>
          <w:szCs w:val="44"/>
          <w14:textOutline w14:w="7962" w14:cap="flat" w14:cmpd="sng" w14:algn="ctr">
            <w14:solidFill>
              <w14:srgbClr w14:val="000000"/>
            </w14:solidFill>
            <w14:prstDash w14:val="solid"/>
            <w14:miter w14:val="0"/>
          </w14:textOutline>
        </w:rPr>
      </w:pPr>
    </w:p>
    <w:p>
      <w:pPr>
        <w:widowControl w:val="0"/>
        <w:kinsoku/>
        <w:autoSpaceDE/>
        <w:autoSpaceDN/>
        <w:adjustRightInd/>
        <w:snapToGrid/>
        <w:spacing w:line="360" w:lineRule="auto"/>
        <w:jc w:val="center"/>
        <w:textAlignment w:val="auto"/>
        <w:rPr>
          <w:rFonts w:ascii="方正小标宋简体" w:hAnsi="方正小标宋简体" w:eastAsia="方正小标宋简体" w:cs="方正小标宋简体"/>
          <w:snapToGrid/>
          <w:kern w:val="2"/>
          <w:sz w:val="44"/>
          <w:szCs w:val="44"/>
        </w:rPr>
      </w:pPr>
    </w:p>
    <w:p>
      <w:pPr>
        <w:spacing w:line="360" w:lineRule="auto"/>
        <w:jc w:val="center"/>
        <w:rPr>
          <w:rFonts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before="233" w:line="223" w:lineRule="auto"/>
        <w:rPr>
          <w:rFonts w:ascii="Times New Roman" w:hAnsi="Times New Roman" w:eastAsia="仿宋" w:cs="Times New Roman"/>
          <w:spacing w:val="-15"/>
          <w:w w:val="97"/>
          <w:position w:val="22"/>
          <w:sz w:val="32"/>
          <w:szCs w:val="32"/>
        </w:rPr>
      </w:pPr>
    </w:p>
    <w:p>
      <w:pPr>
        <w:spacing w:before="233" w:line="223" w:lineRule="auto"/>
        <w:rPr>
          <w:rFonts w:ascii="Times New Roman" w:hAnsi="Times New Roman" w:eastAsia="仿宋" w:cs="Times New Roman"/>
          <w:spacing w:val="-15"/>
          <w:w w:val="97"/>
          <w:position w:val="22"/>
          <w:sz w:val="32"/>
          <w:szCs w:val="32"/>
        </w:rPr>
      </w:pPr>
    </w:p>
    <w:p>
      <w:pPr>
        <w:spacing w:before="233" w:line="223" w:lineRule="auto"/>
        <w:rPr>
          <w:rFonts w:ascii="Times New Roman" w:hAnsi="Times New Roman" w:eastAsia="仿宋" w:cs="Times New Roman"/>
          <w:spacing w:val="-15"/>
          <w:w w:val="97"/>
          <w:position w:val="22"/>
          <w:sz w:val="32"/>
          <w:szCs w:val="32"/>
        </w:rPr>
      </w:pPr>
    </w:p>
    <w:p>
      <w:pPr>
        <w:spacing w:before="233" w:line="223" w:lineRule="auto"/>
        <w:rPr>
          <w:rFonts w:ascii="Times New Roman" w:hAnsi="Times New Roman" w:eastAsia="仿宋" w:cs="Times New Roman"/>
          <w:spacing w:val="-15"/>
          <w:w w:val="97"/>
          <w:position w:val="22"/>
          <w:sz w:val="32"/>
          <w:szCs w:val="32"/>
        </w:rPr>
      </w:pPr>
    </w:p>
    <w:p>
      <w:pPr>
        <w:spacing w:before="233" w:line="223" w:lineRule="auto"/>
        <w:rPr>
          <w:rFonts w:ascii="Times New Roman" w:hAnsi="Times New Roman" w:eastAsia="仿宋" w:cs="Times New Roman"/>
          <w:spacing w:val="-15"/>
          <w:w w:val="97"/>
          <w:position w:val="2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财政事权名称：</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对应政策任务个数：1</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具体名称：省级以上生态公益林效益补偿资金</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预算单位：广东省林业局（公章）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填报人姓名：陈泱霖</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联系电话：81953373</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填报日期：2023年7月</w:t>
      </w:r>
    </w:p>
    <w:p>
      <w:pPr>
        <w:pStyle w:val="3"/>
        <w:snapToGrid/>
        <w:spacing w:line="360" w:lineRule="auto"/>
        <w:ind w:firstLine="640"/>
        <w:contextualSpacing/>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snapToGrid/>
          <w:color w:val="auto"/>
          <w:kern w:val="2"/>
          <w:sz w:val="32"/>
          <w:szCs w:val="24"/>
        </w:rPr>
      </w:pPr>
      <w:r>
        <w:rPr>
          <w:rFonts w:hint="eastAsia" w:ascii="仿宋_GB2312" w:hAnsi="仿宋_GB2312" w:eastAsia="仿宋_GB2312" w:cs="仿宋_GB2312"/>
          <w:snapToGrid/>
          <w:color w:val="auto"/>
          <w:kern w:val="2"/>
          <w:sz w:val="32"/>
          <w:szCs w:val="24"/>
        </w:rPr>
        <w:t>根据《广东省财政厅关于开展</w:t>
      </w:r>
      <w:r>
        <w:rPr>
          <w:rFonts w:ascii="仿宋_GB2312" w:hAnsi="仿宋_GB2312" w:eastAsia="仿宋_GB2312" w:cs="仿宋_GB2312"/>
          <w:snapToGrid/>
          <w:color w:val="auto"/>
          <w:kern w:val="2"/>
          <w:sz w:val="32"/>
          <w:szCs w:val="24"/>
        </w:rPr>
        <w:t>202</w:t>
      </w:r>
      <w:r>
        <w:rPr>
          <w:rFonts w:hint="eastAsia" w:ascii="仿宋_GB2312" w:hAnsi="仿宋_GB2312" w:eastAsia="仿宋_GB2312" w:cs="仿宋_GB2312"/>
          <w:snapToGrid/>
          <w:color w:val="auto"/>
          <w:kern w:val="2"/>
          <w:sz w:val="32"/>
          <w:szCs w:val="24"/>
        </w:rPr>
        <w:t>3</w:t>
      </w:r>
      <w:r>
        <w:rPr>
          <w:rFonts w:ascii="仿宋_GB2312" w:hAnsi="仿宋_GB2312" w:eastAsia="仿宋_GB2312" w:cs="仿宋_GB2312"/>
          <w:snapToGrid/>
          <w:color w:val="auto"/>
          <w:kern w:val="2"/>
          <w:sz w:val="32"/>
          <w:szCs w:val="24"/>
        </w:rPr>
        <w:t>年省级财政资金绩效自评工作的通知</w:t>
      </w:r>
      <w:r>
        <w:rPr>
          <w:rFonts w:hint="eastAsia" w:ascii="仿宋_GB2312" w:hAnsi="仿宋_GB2312" w:eastAsia="仿宋_GB2312" w:cs="仿宋_GB2312"/>
          <w:snapToGrid/>
          <w:color w:val="auto"/>
          <w:kern w:val="2"/>
          <w:sz w:val="32"/>
          <w:szCs w:val="24"/>
        </w:rPr>
        <w:t>》的要求，为进一步压实预算绩效管理主体责任，提高财政资金使用效益，我局开展了2022年“省级以上生态公益林效益补偿资金”项目绩效自评工作。针对该项目的过程、产出和效益等方面的内容，我局着重分析了项目的绩效目标完成情况、项目任务完成情况、项目产生的效益等情况，提出了该项目实施的主要绩效和改进意见。现就该项目的绩效自评情况报告如下：</w:t>
      </w:r>
    </w:p>
    <w:p>
      <w:pPr>
        <w:pStyle w:val="3"/>
        <w:adjustRightInd/>
        <w:snapToGrid/>
        <w:spacing w:line="360" w:lineRule="auto"/>
        <w:ind w:firstLine="640" w:firstLineChars="200"/>
        <w:contextualSpacing/>
        <w:rPr>
          <w:rFonts w:ascii="Times New Roman" w:hAnsi="Times New Roman" w:cs="Times New Roman"/>
        </w:rPr>
      </w:pPr>
      <w:r>
        <w:rPr>
          <w:rFonts w:hint="eastAsia" w:ascii="Times New Roman" w:hAnsi="Times New Roman" w:cs="Times New Roman"/>
        </w:rPr>
        <w:t>一、基本情况</w:t>
      </w:r>
    </w:p>
    <w:p>
      <w:pPr>
        <w:pStyle w:val="4"/>
        <w:adjustRightInd/>
        <w:snapToGrid/>
        <w:spacing w:line="360" w:lineRule="auto"/>
        <w:ind w:firstLine="640"/>
        <w:rPr>
          <w:rFonts w:ascii="楷体_GB2312" w:hAnsi="楷体_GB2312" w:eastAsia="楷体_GB2312" w:cs="楷体_GB2312"/>
          <w:b/>
          <w:bCs w:val="0"/>
        </w:rPr>
      </w:pPr>
      <w:r>
        <w:rPr>
          <w:rFonts w:hint="eastAsia" w:ascii="楷体_GB2312" w:hAnsi="楷体_GB2312" w:eastAsia="楷体_GB2312" w:cs="楷体_GB2312"/>
          <w:b/>
          <w:bCs w:val="0"/>
        </w:rPr>
        <w:t>（一）项目资金概况</w:t>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为进一步落实党的二十大报告提出</w:t>
      </w:r>
      <w:r>
        <w:rPr>
          <w:rFonts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rPr>
        <w:t>建立生态产品价值实现机制，完善生态保护补偿机制</w:t>
      </w:r>
      <w:r>
        <w:rPr>
          <w:rFonts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rPr>
        <w:t>发展战略，继续保持我省在公益林建设和管护的领先地位，从而全面提升我省森林生态系统的多样性、稳定性、持续性，广东省财政厅安排265511万元用于2022年省级以上生态公益林效益补偿项目。</w:t>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关于做好2022年省级财政资金项目入库储备工作的通知》（粤财预〔2021〕30号）、《关于印发〈广东省省级财政资金绩效评审管理办法（试行）〉的通知》（粤财预〔2019〕121号）、《广东省省级生态公益林效益补偿资金管理办法》（粤财农〔2018〕322号）以及2022年事业发展性支出预算编制项目库申报工作部署，我局结合各地市公益林管理实际和各自然保护区、省级林场工作需要申报项目195个，申请省级以上生态公益林效益补偿资金265511万元。其中，损失性补偿资金257954万元，公益林管护管理和示范建设经费7557万元（含134万公益林管护救灾复产项目）。</w:t>
      </w:r>
    </w:p>
    <w:p>
      <w:pPr>
        <w:pStyle w:val="4"/>
        <w:adjustRightInd/>
        <w:snapToGrid/>
        <w:spacing w:line="360" w:lineRule="auto"/>
        <w:ind w:firstLine="640"/>
        <w:rPr>
          <w:rFonts w:ascii="楷体_GB2312" w:hAnsi="楷体_GB2312" w:eastAsia="楷体_GB2312" w:cs="楷体_GB2312"/>
          <w:b/>
          <w:bCs w:val="0"/>
        </w:rPr>
      </w:pPr>
      <w:bookmarkStart w:id="0" w:name="_Toc13088"/>
      <w:bookmarkStart w:id="1" w:name="_Toc13192"/>
      <w:r>
        <w:rPr>
          <w:rFonts w:hint="eastAsia" w:ascii="楷体_GB2312" w:hAnsi="楷体_GB2312" w:eastAsia="楷体_GB2312" w:cs="楷体_GB2312"/>
          <w:b/>
          <w:bCs w:val="0"/>
        </w:rPr>
        <w:t>（二）资金分配方式</w:t>
      </w:r>
      <w:bookmarkEnd w:id="0"/>
      <w:bookmarkEnd w:id="1"/>
      <w:r>
        <w:rPr>
          <w:rFonts w:hint="eastAsia" w:ascii="楷体_GB2312" w:hAnsi="楷体_GB2312" w:eastAsia="楷体_GB2312" w:cs="楷体_GB2312"/>
          <w:b/>
          <w:bCs w:val="0"/>
        </w:rPr>
        <w:tab/>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Cs/>
          <w:color w:val="auto"/>
          <w:sz w:val="32"/>
          <w:szCs w:val="32"/>
        </w:rPr>
        <w:t>2022年省级以上生态公益林效益补偿标准由平均42元/亩提高到44元/亩。根据一般区域和特殊区域面积计算，一般区域补偿标准为37元/亩，特殊区域补偿标准为49.4元/亩。资金分配方式有两种：</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bCs/>
          <w:color w:val="auto"/>
          <w:sz w:val="32"/>
          <w:szCs w:val="32"/>
        </w:rPr>
        <w:t>按公益林面积将补偿资金中的损失性补偿资金分配下达到市县财政和省直有关单位。</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Cs/>
          <w:color w:val="auto"/>
          <w:sz w:val="32"/>
          <w:szCs w:val="32"/>
        </w:rPr>
        <w:t>省统筹经费的分配，主要采用专家评审，扶持对象主要是市县林业主管部门、省直有关单位。</w:t>
      </w:r>
    </w:p>
    <w:p>
      <w:pPr>
        <w:pStyle w:val="4"/>
        <w:adjustRightInd/>
        <w:snapToGrid/>
        <w:spacing w:line="360" w:lineRule="auto"/>
        <w:ind w:firstLine="640"/>
        <w:rPr>
          <w:rFonts w:eastAsiaTheme="minorEastAsia"/>
        </w:rPr>
      </w:pPr>
      <w:bookmarkStart w:id="2" w:name="_Toc9813"/>
      <w:bookmarkStart w:id="3" w:name="_Toc14452"/>
      <w:r>
        <w:rPr>
          <w:rFonts w:hint="eastAsia" w:ascii="楷体_GB2312" w:hAnsi="楷体_GB2312" w:eastAsia="楷体_GB2312" w:cs="楷体_GB2312"/>
          <w:b/>
          <w:bCs w:val="0"/>
        </w:rPr>
        <w:t>（三）项目主要用途、扶持对象</w:t>
      </w:r>
      <w:bookmarkEnd w:id="2"/>
      <w:bookmarkEnd w:id="3"/>
    </w:p>
    <w:p>
      <w:pPr>
        <w:adjustRightInd/>
        <w:snapToGrid/>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napToGrid/>
          <w:color w:val="auto"/>
          <w:kern w:val="2"/>
          <w:sz w:val="32"/>
          <w:szCs w:val="24"/>
        </w:rPr>
        <w:t>“省级以上生态公益林效益补偿资金”</w:t>
      </w:r>
      <w:r>
        <w:rPr>
          <w:rFonts w:ascii="仿宋_GB2312" w:hAnsi="仿宋_GB2312" w:eastAsia="仿宋_GB2312" w:cs="仿宋_GB2312"/>
          <w:sz w:val="32"/>
          <w:szCs w:val="32"/>
        </w:rPr>
        <w:t>分为损失性补偿资金和公共管护经费两部分，其中损失性补偿资金指补给因划定为省级生态公益林而禁止采伐林木造成经济损失的林地经营者或林木所有者的资金；公共管护经费包括生态公益林管护人员经费、管理经费和省统筹经费。</w:t>
      </w:r>
    </w:p>
    <w:p>
      <w:pPr>
        <w:adjustRightInd/>
        <w:snapToGrid/>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主要分配到以下37个单位：汕头市、韶关市、河源市、梅州市、惠州市、汕尾市、江门市、阳江市、湛江市、茂名市、肇庆市、清远市、潮州市、揭阳市、云浮市、广州市（花都区）、广东省省乳阳林场、广东省省沙头角林场、广东省省龙眼洞林场、广东省省天井山林场、广东省省樟木头林场、广东省省乐昌林场、广东省省连山林场、广东省省东江林场、广东省省九连山林场、广东省省西江林场、广东省省德庆林场、广东省省郁南林场、广东省省云浮林场、广东省林业科学研究院西江分院、国营雷州局、省农垦总局、广东车八岭国家级自然保护区管理局、广东潮安凤凰山省级自然保护区管理处、广东曲江罗坑鳄蜥省级自然保护区管理处。</w:t>
      </w:r>
    </w:p>
    <w:p>
      <w:pPr>
        <w:pStyle w:val="4"/>
        <w:adjustRightInd/>
        <w:snapToGrid/>
        <w:spacing w:line="360" w:lineRule="auto"/>
        <w:ind w:firstLine="640"/>
        <w:contextualSpacing/>
        <w:rPr>
          <w:rFonts w:ascii="楷体_GB2312" w:hAnsi="楷体_GB2312" w:eastAsia="楷体_GB2312" w:cs="楷体_GB2312"/>
          <w:b/>
          <w:bCs w:val="0"/>
        </w:rPr>
      </w:pPr>
      <w:r>
        <w:rPr>
          <w:rFonts w:hint="eastAsia" w:ascii="楷体_GB2312" w:hAnsi="楷体_GB2312" w:eastAsia="楷体_GB2312" w:cs="楷体_GB2312"/>
          <w:b/>
          <w:bCs w:val="0"/>
        </w:rPr>
        <w:t>（四）绩效目标</w:t>
      </w:r>
    </w:p>
    <w:p>
      <w:pPr>
        <w:adjustRightInd/>
        <w:snapToGrid/>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广东省林业局关于报送2022年省财政省级以上公益林效益补偿资金和绩效目标的函》（粤林函〔2021〕322号）文件的附件《2022年省财政省级以上公益林效益补偿资金项目绩效目标申报表（一级项目）》和《广东省财政厅关于提前下达2022年省级以上生态公益林效益补偿资金的通知》（粤财资环〔2021〕136号），确定了本项目的总体绩效目标和具体绩效指标如下：</w:t>
      </w:r>
    </w:p>
    <w:p>
      <w:pPr>
        <w:pStyle w:val="5"/>
        <w:adjustRightInd/>
        <w:snapToGrid/>
        <w:spacing w:line="360" w:lineRule="auto"/>
        <w:ind w:firstLine="640"/>
        <w:rPr>
          <w:rFonts w:ascii="仿宋_GB2312" w:hAnsi="仿宋_GB2312" w:eastAsia="仿宋_GB2312" w:cs="仿宋_GB2312"/>
          <w:bCs w:val="0"/>
          <w:color w:val="auto"/>
        </w:rPr>
      </w:pPr>
      <w:r>
        <w:rPr>
          <w:rFonts w:hint="eastAsia" w:ascii="仿宋_GB2312" w:hAnsi="仿宋_GB2312" w:eastAsia="仿宋_GB2312" w:cs="仿宋_GB2312"/>
          <w:bCs w:val="0"/>
          <w:color w:val="auto"/>
        </w:rPr>
        <w:t>1.总体绩效目标</w:t>
      </w:r>
    </w:p>
    <w:p>
      <w:pPr>
        <w:adjustRightInd/>
        <w:snapToGrid/>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做好区划范围内的省级公益林建设管理和保护工作，按时足额发放2022年损失性补偿资金至林农手中，及时合理支出公共管护经费和管理经费。</w:t>
      </w:r>
    </w:p>
    <w:p>
      <w:pPr>
        <w:adjustRightInd/>
        <w:snapToGrid/>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高监管能力，严防各类破坏公益林资源的案件发生，确保公益林资源安全。提升森林景观，实施人工促进天然林更新或封育管护等措施，促进天然次生林生态系统正向演替。探索可持续经营利用，增加林农收入，取得公益林的生态、经济和社会三大效益多赢。</w:t>
      </w:r>
    </w:p>
    <w:p>
      <w:pPr>
        <w:pStyle w:val="5"/>
        <w:adjustRightInd/>
        <w:snapToGrid/>
        <w:spacing w:line="360" w:lineRule="auto"/>
        <w:ind w:firstLine="640"/>
        <w:rPr>
          <w:rFonts w:ascii="仿宋_GB2312" w:hAnsi="仿宋_GB2312" w:eastAsia="仿宋_GB2312" w:cs="仿宋_GB2312"/>
          <w:b w:val="0"/>
          <w:bCs w:val="0"/>
          <w:color w:val="auto"/>
        </w:rPr>
      </w:pPr>
      <w:r>
        <w:rPr>
          <w:rFonts w:hint="eastAsia" w:ascii="仿宋_GB2312" w:hAnsi="仿宋_GB2312" w:eastAsia="仿宋_GB2312" w:cs="仿宋_GB2312"/>
          <w:bCs w:val="0"/>
          <w:color w:val="auto"/>
        </w:rPr>
        <w:t>2.具体绩效指标：</w:t>
      </w:r>
      <w:r>
        <w:rPr>
          <w:rFonts w:hint="eastAsia" w:ascii="仿宋_GB2312" w:hAnsi="仿宋_GB2312" w:eastAsia="仿宋_GB2312" w:cs="仿宋_GB2312"/>
          <w:b w:val="0"/>
          <w:bCs w:val="0"/>
          <w:color w:val="auto"/>
        </w:rPr>
        <w:t>项目的具体绩效指标情况详见表1-1所示。</w:t>
      </w:r>
    </w:p>
    <w:p>
      <w:pPr>
        <w:spacing w:before="156" w:beforeLines="50" w:line="360" w:lineRule="auto"/>
        <w:jc w:val="center"/>
        <w:rPr>
          <w:rFonts w:ascii="黑体" w:hAnsi="宋体" w:eastAsia="黑体" w:cs="黑体"/>
          <w:sz w:val="28"/>
          <w:szCs w:val="28"/>
          <w:lang w:bidi="ar"/>
        </w:rPr>
      </w:pPr>
      <w:r>
        <w:rPr>
          <w:rFonts w:hint="eastAsia" w:ascii="黑体" w:hAnsi="宋体" w:eastAsia="黑体" w:cs="黑体"/>
          <w:sz w:val="28"/>
          <w:szCs w:val="28"/>
          <w:lang w:bidi="ar"/>
        </w:rPr>
        <w:t>表1-</w:t>
      </w:r>
      <w:r>
        <w:rPr>
          <w:rFonts w:ascii="黑体" w:hAnsi="宋体" w:eastAsia="黑体" w:cs="黑体"/>
          <w:sz w:val="28"/>
          <w:szCs w:val="28"/>
          <w:lang w:bidi="ar"/>
        </w:rPr>
        <w:t>1</w:t>
      </w:r>
      <w:r>
        <w:rPr>
          <w:rFonts w:hint="eastAsia" w:ascii="黑体" w:hAnsi="宋体" w:eastAsia="黑体" w:cs="黑体"/>
          <w:sz w:val="28"/>
          <w:szCs w:val="28"/>
          <w:lang w:bidi="ar"/>
        </w:rPr>
        <w:t xml:space="preserve"> 具体绩效指标情况表</w:t>
      </w:r>
    </w:p>
    <w:tbl>
      <w:tblPr>
        <w:tblStyle w:val="16"/>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602"/>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4602" w:type="dxa"/>
            <w:tcBorders>
              <w:top w:val="single" w:color="auto" w:sz="4" w:space="0"/>
              <w:left w:val="single" w:color="auto" w:sz="4" w:space="0"/>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绩效指标</w:t>
            </w:r>
          </w:p>
        </w:tc>
        <w:tc>
          <w:tcPr>
            <w:tcW w:w="3618" w:type="dxa"/>
            <w:tcBorders>
              <w:top w:val="single" w:color="auto" w:sz="4" w:space="0"/>
              <w:left w:val="single" w:color="auto" w:sz="4" w:space="0"/>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年度目标值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省级生态公益林面积（万亩）</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6747.94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建设公益林示范区</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公益林管护水平</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pacing w:val="-6"/>
                <w:sz w:val="24"/>
              </w:rPr>
              <w:t>平均每3000-5000亩一名管护人员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资金使用率</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工作任务完成及时率</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平均补偿标准（元/亩）</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对当地经济发展是否促进作用</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8</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公益林区域内有无采脂、采石等违规现象</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9</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森林火灾受害率</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10</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区域林业有害生物成灾率</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pacing w:val="-23"/>
                <w:sz w:val="24"/>
                <w:szCs w:val="24"/>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12</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政策或制度可持续</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13</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机制可持续（如管护、经费投入等）</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14</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公益林示范区示范效应（是否明显）</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ascii="仿宋_GB2312" w:hAnsi="仿宋_GB2312" w:eastAsia="仿宋_GB2312" w:cs="仿宋_GB2312"/>
                <w:sz w:val="24"/>
              </w:rPr>
              <w:t>15</w:t>
            </w:r>
          </w:p>
        </w:tc>
        <w:tc>
          <w:tcPr>
            <w:tcW w:w="460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受益人员满意度</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90%以上</w:t>
            </w:r>
          </w:p>
        </w:tc>
      </w:tr>
    </w:tbl>
    <w:p>
      <w:pPr>
        <w:pStyle w:val="3"/>
        <w:adjustRightInd/>
        <w:snapToGrid/>
        <w:spacing w:before="156" w:beforeLines="50" w:line="360" w:lineRule="auto"/>
        <w:ind w:firstLine="640" w:firstLineChars="200"/>
        <w:contextualSpacing/>
        <w:rPr>
          <w:rFonts w:ascii="Times New Roman" w:hAnsi="Times New Roman" w:cs="Times New Roman"/>
        </w:rPr>
      </w:pPr>
      <w:bookmarkStart w:id="4" w:name="_Toc1692"/>
      <w:r>
        <w:rPr>
          <w:rFonts w:hint="eastAsia" w:ascii="Times New Roman" w:hAnsi="Times New Roman" w:cs="Times New Roman"/>
        </w:rPr>
        <w:t>二、自评情况</w:t>
      </w:r>
      <w:bookmarkEnd w:id="4"/>
    </w:p>
    <w:p>
      <w:pPr>
        <w:pStyle w:val="4"/>
        <w:adjustRightInd/>
        <w:snapToGrid/>
        <w:spacing w:line="360" w:lineRule="auto"/>
        <w:ind w:firstLine="640"/>
        <w:rPr>
          <w:rFonts w:ascii="楷体_GB2312" w:hAnsi="楷体_GB2312" w:eastAsia="楷体_GB2312" w:cs="楷体_GB2312"/>
          <w:b/>
          <w:bCs w:val="0"/>
        </w:rPr>
      </w:pPr>
      <w:bookmarkStart w:id="5" w:name="_Toc552"/>
      <w:r>
        <w:rPr>
          <w:rFonts w:hint="eastAsia" w:ascii="楷体_GB2312" w:hAnsi="楷体_GB2312" w:eastAsia="楷体_GB2312" w:cs="楷体_GB2312"/>
          <w:b/>
          <w:bCs w:val="0"/>
        </w:rPr>
        <w:t>（一）自评</w:t>
      </w:r>
      <w:bookmarkEnd w:id="5"/>
      <w:r>
        <w:rPr>
          <w:rFonts w:hint="eastAsia" w:ascii="楷体_GB2312" w:hAnsi="楷体_GB2312" w:eastAsia="楷体_GB2312" w:cs="楷体_GB2312"/>
          <w:b/>
          <w:bCs w:val="0"/>
        </w:rPr>
        <w:t>结论及指标分析</w:t>
      </w:r>
    </w:p>
    <w:p>
      <w:pPr>
        <w:widowControl w:val="0"/>
        <w:kinsoku/>
        <w:autoSpaceDE/>
        <w:autoSpaceDN/>
        <w:adjustRightInd/>
        <w:snapToGrid/>
        <w:spacing w:line="360" w:lineRule="auto"/>
        <w:ind w:firstLine="643" w:firstLineChars="200"/>
        <w:jc w:val="both"/>
        <w:textAlignment w:val="auto"/>
      </w:pPr>
      <w:r>
        <w:rPr>
          <w:rFonts w:hint="eastAsia" w:ascii="仿宋_GB2312" w:hAnsi="仿宋_GB2312" w:eastAsia="仿宋_GB2312" w:cs="Times New Roman"/>
          <w:b/>
          <w:bCs/>
          <w:snapToGrid/>
          <w:kern w:val="2"/>
          <w:sz w:val="32"/>
          <w:szCs w:val="24"/>
        </w:rPr>
        <w:t>1.自评结论</w:t>
      </w:r>
    </w:p>
    <w:p>
      <w:pPr>
        <w:widowControl w:val="0"/>
        <w:adjustRightInd/>
        <w:snapToGrid/>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通过分析汇总我局各用款单位提供的自评报告和相关材料，参照《广东省财政厅关于开展2023年省级财政资金绩效自评工作的通知》的要求，2022年</w:t>
      </w:r>
      <w:r>
        <w:rPr>
          <w:rFonts w:hint="eastAsia" w:ascii="仿宋_GB2312" w:hAnsi="仿宋_GB2312" w:eastAsia="仿宋_GB2312" w:cs="仿宋_GB2312"/>
          <w:snapToGrid/>
          <w:color w:val="auto"/>
          <w:kern w:val="2"/>
          <w:sz w:val="32"/>
          <w:szCs w:val="24"/>
        </w:rPr>
        <w:t>“省级以上生态公益林效益补偿资金”</w:t>
      </w:r>
      <w:r>
        <w:rPr>
          <w:rFonts w:hint="eastAsia" w:ascii="仿宋_GB2312" w:hAnsi="仿宋_GB2312" w:eastAsia="仿宋_GB2312" w:cs="仿宋_GB2312"/>
          <w:color w:val="auto"/>
          <w:sz w:val="32"/>
          <w:szCs w:val="32"/>
        </w:rPr>
        <w:t>项目较好完成了项目预期目标及我局公益林相关年度工作任务。</w:t>
      </w:r>
    </w:p>
    <w:p>
      <w:pPr>
        <w:adjustRightInd/>
        <w:snapToGrid/>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项目自评分别从过程、产出、效益三个方面8个二级指标、14个三级指标进行逐一评分，采取定性与定量分析相结合的评价方法，对绩效完成情况进行自评打分。经综合分析，本项目绩效自评得分为</w:t>
      </w:r>
      <w:r>
        <w:rPr>
          <w:rFonts w:hint="eastAsia" w:ascii="仿宋_GB2312" w:hAnsi="仿宋_GB2312" w:eastAsia="仿宋_GB2312" w:cs="仿宋_GB2312"/>
          <w:b/>
          <w:bCs/>
          <w:color w:val="auto"/>
          <w:sz w:val="32"/>
          <w:szCs w:val="32"/>
        </w:rPr>
        <w:t>9</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color w:val="auto"/>
          <w:sz w:val="32"/>
          <w:szCs w:val="32"/>
        </w:rPr>
        <w:t>分，自评等级为</w:t>
      </w:r>
      <w:r>
        <w:rPr>
          <w:rFonts w:hint="eastAsia" w:ascii="仿宋_GB2312" w:hAnsi="仿宋_GB2312" w:eastAsia="仿宋_GB2312" w:cs="仿宋_GB2312"/>
          <w:b/>
          <w:bCs/>
          <w:color w:val="auto"/>
          <w:sz w:val="32"/>
          <w:szCs w:val="32"/>
        </w:rPr>
        <w:t>“优”</w:t>
      </w:r>
      <w:r>
        <w:rPr>
          <w:rFonts w:hint="eastAsia" w:ascii="仿宋_GB2312" w:hAnsi="仿宋_GB2312" w:eastAsia="仿宋_GB2312" w:cs="仿宋_GB2312"/>
          <w:color w:val="auto"/>
          <w:sz w:val="32"/>
          <w:szCs w:val="32"/>
        </w:rPr>
        <w:t>。项目一级指标自评得分情况见表2-1所示。</w:t>
      </w:r>
    </w:p>
    <w:p>
      <w:pPr>
        <w:pStyle w:val="19"/>
        <w:spacing w:line="360" w:lineRule="auto"/>
        <w:ind w:firstLine="0" w:firstLineChars="0"/>
        <w:jc w:val="center"/>
        <w:rPr>
          <w:rFonts w:ascii="黑体" w:hAnsi="黑体" w:eastAsia="黑体" w:cs="黑体"/>
          <w:sz w:val="28"/>
          <w:szCs w:val="28"/>
        </w:rPr>
      </w:pPr>
      <w:r>
        <w:rPr>
          <w:rFonts w:hint="eastAsia" w:ascii="黑体" w:hAnsi="黑体" w:eastAsia="黑体" w:cs="黑体"/>
          <w:sz w:val="28"/>
          <w:szCs w:val="28"/>
        </w:rPr>
        <w:t xml:space="preserve">表2-1 </w:t>
      </w:r>
      <w:r>
        <w:rPr>
          <w:rFonts w:hint="eastAsia" w:ascii="黑体" w:hAnsi="黑体" w:eastAsia="黑体" w:cs="黑体"/>
          <w:sz w:val="28"/>
          <w:szCs w:val="28"/>
          <w:lang w:bidi="ar"/>
        </w:rPr>
        <w:t>项目一级指标自评得分情况表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1"/>
        <w:gridCol w:w="212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shd w:val="clear" w:color="auto" w:fill="D6E3BC"/>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一级指标</w:t>
            </w:r>
          </w:p>
        </w:tc>
        <w:tc>
          <w:tcPr>
            <w:tcW w:w="1250" w:type="pct"/>
            <w:shd w:val="clear" w:color="auto" w:fill="D6E3BC"/>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指标分值</w:t>
            </w:r>
          </w:p>
        </w:tc>
        <w:tc>
          <w:tcPr>
            <w:tcW w:w="1249" w:type="pct"/>
            <w:shd w:val="clear" w:color="auto" w:fill="D6E3BC"/>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评价得分</w:t>
            </w:r>
          </w:p>
        </w:tc>
        <w:tc>
          <w:tcPr>
            <w:tcW w:w="1250" w:type="pct"/>
            <w:shd w:val="clear" w:color="auto" w:fill="D6E3BC"/>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过程</w:t>
            </w:r>
          </w:p>
        </w:tc>
        <w:tc>
          <w:tcPr>
            <w:tcW w:w="1250" w:type="pc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1249" w:type="pct"/>
            <w:noWrap/>
            <w:vAlign w:val="center"/>
          </w:tcPr>
          <w:p>
            <w:pPr>
              <w:jc w:val="center"/>
              <w:rPr>
                <w:rFonts w:ascii="仿宋_GB2312" w:hAnsi="仿宋_GB2312" w:eastAsia="仿宋_GB2312" w:cs="仿宋_GB2312"/>
                <w:sz w:val="24"/>
              </w:rPr>
            </w:pPr>
            <w:r>
              <w:rPr>
                <w:rFonts w:ascii="仿宋_GB2312" w:hAnsi="仿宋_GB2312" w:eastAsia="仿宋_GB2312" w:cs="仿宋_GB2312"/>
                <w:sz w:val="24"/>
              </w:rPr>
              <w:t>17.4</w:t>
            </w:r>
          </w:p>
        </w:tc>
        <w:tc>
          <w:tcPr>
            <w:tcW w:w="1250" w:type="pct"/>
            <w:noWrap/>
            <w:vAlign w:val="center"/>
          </w:tcPr>
          <w:p>
            <w:pPr>
              <w:jc w:val="center"/>
              <w:rPr>
                <w:rFonts w:ascii="仿宋_GB2312" w:hAnsi="仿宋_GB2312" w:eastAsia="仿宋_GB2312" w:cs="仿宋_GB2312"/>
                <w:sz w:val="24"/>
              </w:rPr>
            </w:pPr>
            <w:r>
              <w:rPr>
                <w:rFonts w:ascii="仿宋_GB2312" w:hAnsi="仿宋_GB2312" w:eastAsia="仿宋_GB2312" w:cs="仿宋_GB2312"/>
                <w:sz w:val="24"/>
              </w:rPr>
              <w:t>87</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产出</w:t>
            </w:r>
          </w:p>
        </w:tc>
        <w:tc>
          <w:tcPr>
            <w:tcW w:w="1250" w:type="pc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1249" w:type="pct"/>
            <w:noWrap/>
            <w:vAlign w:val="center"/>
          </w:tcPr>
          <w:p>
            <w:pPr>
              <w:jc w:val="center"/>
              <w:rPr>
                <w:rFonts w:hint="default" w:ascii="仿宋_GB2312" w:hAnsi="仿宋_GB2312" w:eastAsia="仿宋_GB2312" w:cs="仿宋_GB2312"/>
                <w:sz w:val="24"/>
                <w:lang w:val="en-US" w:eastAsia="zh-CN"/>
              </w:rPr>
            </w:pPr>
            <w:r>
              <w:rPr>
                <w:rFonts w:ascii="仿宋_GB2312" w:hAnsi="仿宋_GB2312" w:eastAsia="仿宋_GB2312" w:cs="仿宋_GB2312"/>
                <w:sz w:val="24"/>
              </w:rPr>
              <w:t>3</w:t>
            </w:r>
            <w:r>
              <w:rPr>
                <w:rFonts w:hint="eastAsia" w:ascii="仿宋_GB2312" w:hAnsi="仿宋_GB2312" w:eastAsia="仿宋_GB2312" w:cs="仿宋_GB2312"/>
                <w:sz w:val="24"/>
                <w:lang w:val="en-US" w:eastAsia="zh-CN"/>
              </w:rPr>
              <w:t>9.6</w:t>
            </w:r>
          </w:p>
        </w:tc>
        <w:tc>
          <w:tcPr>
            <w:tcW w:w="1250" w:type="pct"/>
            <w:noWrap/>
            <w:vAlign w:val="center"/>
          </w:tcPr>
          <w:p>
            <w:pPr>
              <w:jc w:val="center"/>
              <w:rPr>
                <w:rFonts w:ascii="仿宋_GB2312" w:hAnsi="仿宋_GB2312" w:eastAsia="仿宋_GB2312" w:cs="仿宋_GB2312"/>
                <w:sz w:val="24"/>
              </w:rPr>
            </w:pPr>
            <w:r>
              <w:rPr>
                <w:rFonts w:ascii="仿宋_GB2312" w:hAnsi="仿宋_GB2312" w:eastAsia="仿宋_GB2312" w:cs="仿宋_GB2312"/>
                <w:sz w:val="24"/>
              </w:rPr>
              <w:t>9</w:t>
            </w:r>
            <w:r>
              <w:rPr>
                <w:rFonts w:hint="eastAsia" w:ascii="仿宋_GB2312" w:hAnsi="仿宋_GB2312" w:eastAsia="仿宋_GB2312" w:cs="仿宋_GB2312"/>
                <w:sz w:val="24"/>
                <w:lang w:val="en-US" w:eastAsia="zh-CN"/>
              </w:rPr>
              <w:t>9</w:t>
            </w:r>
            <w:r>
              <w:rPr>
                <w:rFonts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效益</w:t>
            </w:r>
          </w:p>
        </w:tc>
        <w:tc>
          <w:tcPr>
            <w:tcW w:w="1250" w:type="pc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1249" w:type="pc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40</w:t>
            </w:r>
          </w:p>
        </w:tc>
        <w:tc>
          <w:tcPr>
            <w:tcW w:w="1250" w:type="pct"/>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9" w:type="pct"/>
            <w:tcBorders>
              <w:top w:val="single" w:color="auto" w:sz="4" w:space="0"/>
              <w:left w:val="single" w:color="auto" w:sz="4" w:space="0"/>
              <w:bottom w:val="single" w:color="auto" w:sz="4" w:space="0"/>
              <w:right w:val="single" w:color="auto" w:sz="4" w:space="0"/>
            </w:tcBorders>
            <w:shd w:val="clear" w:color="auto" w:fill="D6E3BC"/>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合计</w:t>
            </w:r>
          </w:p>
        </w:tc>
        <w:tc>
          <w:tcPr>
            <w:tcW w:w="1250" w:type="pct"/>
            <w:tcBorders>
              <w:top w:val="single" w:color="auto" w:sz="4" w:space="0"/>
              <w:left w:val="single" w:color="auto" w:sz="4" w:space="0"/>
              <w:bottom w:val="single" w:color="auto" w:sz="4" w:space="0"/>
              <w:right w:val="single" w:color="auto" w:sz="4" w:space="0"/>
            </w:tcBorders>
            <w:shd w:val="clear" w:color="auto" w:fill="D6E3BC"/>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100</w:t>
            </w:r>
          </w:p>
        </w:tc>
        <w:tc>
          <w:tcPr>
            <w:tcW w:w="1249" w:type="pct"/>
            <w:tcBorders>
              <w:top w:val="single" w:color="auto" w:sz="4" w:space="0"/>
              <w:left w:val="single" w:color="auto" w:sz="4" w:space="0"/>
              <w:bottom w:val="single" w:color="auto" w:sz="4" w:space="0"/>
              <w:right w:val="single" w:color="auto" w:sz="4" w:space="0"/>
            </w:tcBorders>
            <w:shd w:val="clear" w:color="auto" w:fill="D6E3BC"/>
            <w:noWrap/>
            <w:vAlign w:val="center"/>
          </w:tcPr>
          <w:p>
            <w:pPr>
              <w:jc w:val="center"/>
              <w:rPr>
                <w:rFonts w:hint="eastAsia" w:ascii="仿宋_GB2312" w:hAnsi="仿宋_GB2312" w:eastAsia="仿宋_GB2312" w:cs="仿宋_GB2312"/>
                <w:b/>
                <w:bCs/>
                <w:sz w:val="24"/>
                <w:lang w:eastAsia="zh-CN"/>
              </w:rPr>
            </w:pPr>
            <w:r>
              <w:rPr>
                <w:rFonts w:ascii="仿宋_GB2312" w:hAnsi="仿宋_GB2312" w:eastAsia="仿宋_GB2312" w:cs="仿宋_GB2312"/>
                <w:b/>
                <w:bCs/>
                <w:sz w:val="24"/>
              </w:rPr>
              <w:t>9</w:t>
            </w:r>
            <w:r>
              <w:rPr>
                <w:rFonts w:hint="eastAsia" w:ascii="仿宋_GB2312" w:hAnsi="仿宋_GB2312" w:eastAsia="仿宋_GB2312" w:cs="仿宋_GB2312"/>
                <w:b/>
                <w:bCs/>
                <w:sz w:val="24"/>
                <w:lang w:val="en-US" w:eastAsia="zh-CN"/>
              </w:rPr>
              <w:t>7</w:t>
            </w:r>
          </w:p>
        </w:tc>
        <w:tc>
          <w:tcPr>
            <w:tcW w:w="1250" w:type="pct"/>
            <w:tcBorders>
              <w:top w:val="single" w:color="auto" w:sz="4" w:space="0"/>
              <w:left w:val="single" w:color="auto" w:sz="4" w:space="0"/>
              <w:bottom w:val="single" w:color="auto" w:sz="4" w:space="0"/>
              <w:right w:val="single" w:color="auto" w:sz="4" w:space="0"/>
            </w:tcBorders>
            <w:shd w:val="clear" w:color="auto" w:fill="D6E3BC"/>
            <w:noWrap/>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lang w:val="en-US" w:eastAsia="zh-CN"/>
              </w:rPr>
              <w:t>97</w:t>
            </w:r>
            <w:r>
              <w:rPr>
                <w:rFonts w:ascii="仿宋_GB2312" w:hAnsi="仿宋_GB2312" w:eastAsia="仿宋_GB2312" w:cs="仿宋_GB2312"/>
                <w:b/>
                <w:bCs/>
                <w:sz w:val="24"/>
              </w:rPr>
              <w:t>%</w:t>
            </w:r>
          </w:p>
        </w:tc>
      </w:tr>
    </w:tbl>
    <w:p>
      <w:pPr>
        <w:widowControl w:val="0"/>
        <w:kinsoku/>
        <w:autoSpaceDE/>
        <w:autoSpaceDN/>
        <w:adjustRightInd/>
        <w:snapToGrid/>
        <w:spacing w:before="156" w:beforeLines="50" w:line="360" w:lineRule="auto"/>
        <w:ind w:firstLine="643" w:firstLineChars="200"/>
        <w:jc w:val="both"/>
        <w:textAlignment w:val="auto"/>
        <w:rPr>
          <w:rFonts w:ascii="仿宋_GB2312" w:hAnsi="仿宋_GB2312" w:eastAsia="仿宋_GB2312" w:cs="Times New Roman"/>
          <w:b/>
          <w:bCs/>
          <w:snapToGrid/>
          <w:kern w:val="2"/>
          <w:sz w:val="32"/>
          <w:szCs w:val="24"/>
        </w:rPr>
      </w:pPr>
      <w:bookmarkStart w:id="6" w:name="_Toc29428"/>
      <w:bookmarkStart w:id="7" w:name="_Toc15230"/>
      <w:bookmarkStart w:id="8" w:name="_Toc11264"/>
      <w:r>
        <w:rPr>
          <w:rFonts w:hint="eastAsia" w:ascii="仿宋_GB2312" w:hAnsi="仿宋_GB2312" w:eastAsia="仿宋_GB2312" w:cs="Times New Roman"/>
          <w:b/>
          <w:bCs/>
          <w:snapToGrid/>
          <w:kern w:val="2"/>
          <w:sz w:val="32"/>
          <w:szCs w:val="24"/>
        </w:rPr>
        <w:t>2.指标分析</w:t>
      </w:r>
    </w:p>
    <w:p>
      <w:pPr>
        <w:widowControl w:val="0"/>
        <w:kinsoku/>
        <w:autoSpaceDE/>
        <w:autoSpaceDN/>
        <w:adjustRightInd/>
        <w:snapToGrid/>
        <w:spacing w:line="360" w:lineRule="auto"/>
        <w:ind w:firstLine="643" w:firstLineChars="200"/>
        <w:jc w:val="both"/>
        <w:textAlignment w:val="auto"/>
        <w:rPr>
          <w:rFonts w:ascii="仿宋_GB2312" w:hAnsi="仿宋_GB2312" w:eastAsia="仿宋_GB2312" w:cs="仿宋_GB2312"/>
          <w:color w:val="auto"/>
        </w:rPr>
      </w:pPr>
      <w:r>
        <w:rPr>
          <w:rFonts w:hint="eastAsia" w:ascii="仿宋_GB2312" w:hAnsi="仿宋_GB2312" w:eastAsia="仿宋_GB2312" w:cs="Times New Roman"/>
          <w:b/>
          <w:bCs/>
          <w:snapToGrid/>
          <w:kern w:val="2"/>
          <w:sz w:val="32"/>
          <w:szCs w:val="24"/>
        </w:rPr>
        <w:t>（1）过程</w:t>
      </w:r>
      <w:bookmarkEnd w:id="6"/>
      <w:bookmarkEnd w:id="7"/>
      <w:r>
        <w:rPr>
          <w:rFonts w:hint="eastAsia" w:ascii="仿宋_GB2312" w:hAnsi="仿宋_GB2312" w:eastAsia="仿宋_GB2312" w:cs="Times New Roman"/>
          <w:b/>
          <w:bCs/>
          <w:snapToGrid/>
          <w:kern w:val="2"/>
          <w:sz w:val="32"/>
          <w:szCs w:val="24"/>
        </w:rPr>
        <w:t>。</w:t>
      </w:r>
      <w:bookmarkEnd w:id="8"/>
    </w:p>
    <w:p>
      <w:pPr>
        <w:adjustRightInd/>
        <w:snapToGrid/>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该指标主要考核项目过程管理的规范性，包含资金管理和事项管理两个方面。过程指标分值20分，自评得分17.</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分，得分率为87%。该项目过程指标得分情况见表2-2所示。</w:t>
      </w:r>
    </w:p>
    <w:p>
      <w:pPr>
        <w:spacing w:before="156" w:beforeLines="50" w:line="360" w:lineRule="auto"/>
        <w:jc w:val="center"/>
        <w:rPr>
          <w:rFonts w:ascii="黑体" w:hAnsi="黑体" w:eastAsia="黑体" w:cs="黑体"/>
          <w:sz w:val="28"/>
          <w:szCs w:val="28"/>
        </w:rPr>
      </w:pPr>
      <w:r>
        <w:rPr>
          <w:rFonts w:hint="eastAsia" w:ascii="黑体" w:hAnsi="黑体" w:eastAsia="黑体" w:cs="黑体"/>
          <w:sz w:val="28"/>
          <w:szCs w:val="28"/>
        </w:rPr>
        <w:t>表2-2 项目过程指标得分情况表</w:t>
      </w:r>
    </w:p>
    <w:tbl>
      <w:tblPr>
        <w:tblStyle w:val="16"/>
        <w:tblW w:w="4998" w:type="pct"/>
        <w:jc w:val="center"/>
        <w:tblLayout w:type="autofit"/>
        <w:tblCellMar>
          <w:top w:w="0" w:type="dxa"/>
          <w:left w:w="108" w:type="dxa"/>
          <w:bottom w:w="0" w:type="dxa"/>
          <w:right w:w="108" w:type="dxa"/>
        </w:tblCellMar>
      </w:tblPr>
      <w:tblGrid>
        <w:gridCol w:w="1181"/>
        <w:gridCol w:w="1464"/>
        <w:gridCol w:w="1478"/>
        <w:gridCol w:w="1462"/>
        <w:gridCol w:w="1462"/>
        <w:gridCol w:w="1472"/>
      </w:tblGrid>
      <w:tr>
        <w:tblPrEx>
          <w:tblCellMar>
            <w:top w:w="0" w:type="dxa"/>
            <w:left w:w="108" w:type="dxa"/>
            <w:bottom w:w="0" w:type="dxa"/>
            <w:right w:w="108" w:type="dxa"/>
          </w:tblCellMar>
        </w:tblPrEx>
        <w:trPr>
          <w:trHeight w:val="454" w:hRule="atLeast"/>
          <w:jc w:val="center"/>
        </w:trPr>
        <w:tc>
          <w:tcPr>
            <w:tcW w:w="693" w:type="pct"/>
            <w:tcBorders>
              <w:top w:val="single" w:color="auto" w:sz="4" w:space="0"/>
              <w:left w:val="single" w:color="auto" w:sz="4" w:space="0"/>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一级指标</w:t>
            </w:r>
          </w:p>
        </w:tc>
        <w:tc>
          <w:tcPr>
            <w:tcW w:w="859" w:type="pct"/>
            <w:tcBorders>
              <w:top w:val="single" w:color="auto" w:sz="4" w:space="0"/>
              <w:left w:val="nil"/>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二级指标</w:t>
            </w:r>
          </w:p>
        </w:tc>
        <w:tc>
          <w:tcPr>
            <w:tcW w:w="867" w:type="pct"/>
            <w:tcBorders>
              <w:top w:val="single" w:color="auto" w:sz="4" w:space="0"/>
              <w:left w:val="nil"/>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三级指标</w:t>
            </w:r>
          </w:p>
        </w:tc>
        <w:tc>
          <w:tcPr>
            <w:tcW w:w="858" w:type="pct"/>
            <w:tcBorders>
              <w:top w:val="single" w:color="auto" w:sz="4" w:space="0"/>
              <w:left w:val="nil"/>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指标分值</w:t>
            </w:r>
          </w:p>
        </w:tc>
        <w:tc>
          <w:tcPr>
            <w:tcW w:w="858" w:type="pct"/>
            <w:tcBorders>
              <w:top w:val="single" w:color="auto" w:sz="4" w:space="0"/>
              <w:left w:val="nil"/>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自评得分</w:t>
            </w:r>
          </w:p>
        </w:tc>
        <w:tc>
          <w:tcPr>
            <w:tcW w:w="863" w:type="pct"/>
            <w:tcBorders>
              <w:top w:val="single" w:color="auto" w:sz="4" w:space="0"/>
              <w:left w:val="nil"/>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shd w:val="clear" w:color="auto" w:fill="D6E3BC"/>
              </w:rPr>
              <w:t>得</w:t>
            </w:r>
            <w:r>
              <w:rPr>
                <w:rFonts w:hint="eastAsia" w:ascii="仿宋_GB2312" w:hAnsi="仿宋_GB2312" w:eastAsia="仿宋_GB2312" w:cs="仿宋_GB2312"/>
                <w:b/>
                <w:bCs/>
                <w:sz w:val="24"/>
              </w:rPr>
              <w:t>分率</w:t>
            </w:r>
          </w:p>
        </w:tc>
      </w:tr>
      <w:tr>
        <w:tblPrEx>
          <w:tblCellMar>
            <w:top w:w="0" w:type="dxa"/>
            <w:left w:w="108" w:type="dxa"/>
            <w:bottom w:w="0" w:type="dxa"/>
            <w:right w:w="108" w:type="dxa"/>
          </w:tblCellMar>
        </w:tblPrEx>
        <w:trPr>
          <w:trHeight w:val="454" w:hRule="atLeast"/>
          <w:jc w:val="center"/>
        </w:trPr>
        <w:tc>
          <w:tcPr>
            <w:tcW w:w="693"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过程</w:t>
            </w: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资金管理</w:t>
            </w:r>
          </w:p>
        </w:tc>
        <w:tc>
          <w:tcPr>
            <w:tcW w:w="86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资金支出率</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r>
              <w:rPr>
                <w:rFonts w:ascii="仿宋_GB2312" w:hAnsi="仿宋_GB2312" w:eastAsia="仿宋_GB2312" w:cs="仿宋_GB2312"/>
                <w:sz w:val="24"/>
              </w:rPr>
              <w:t>4</w:t>
            </w:r>
          </w:p>
        </w:tc>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6</w:t>
            </w:r>
            <w:r>
              <w:rPr>
                <w:rFonts w:hint="eastAsia" w:ascii="仿宋_GB2312" w:hAnsi="仿宋_GB2312" w:eastAsia="仿宋_GB2312" w:cs="仿宋_GB2312"/>
                <w:sz w:val="24"/>
              </w:rPr>
              <w:t>.</w:t>
            </w:r>
            <w:r>
              <w:rPr>
                <w:rFonts w:ascii="仿宋_GB2312" w:hAnsi="仿宋_GB2312" w:eastAsia="仿宋_GB2312" w:cs="仿宋_GB2312"/>
                <w:sz w:val="24"/>
              </w:rPr>
              <w:t>7</w:t>
            </w:r>
            <w:r>
              <w:rPr>
                <w:rFonts w:hint="eastAsia" w:ascii="仿宋_GB2312" w:hAnsi="仿宋_GB2312" w:eastAsia="仿宋_GB2312" w:cs="仿宋_GB2312"/>
                <w:sz w:val="24"/>
              </w:rPr>
              <w:t>%</w:t>
            </w:r>
          </w:p>
        </w:tc>
      </w:tr>
      <w:tr>
        <w:tblPrEx>
          <w:tblCellMar>
            <w:top w:w="0" w:type="dxa"/>
            <w:left w:w="108" w:type="dxa"/>
            <w:bottom w:w="0" w:type="dxa"/>
            <w:right w:w="108" w:type="dxa"/>
          </w:tblCellMar>
        </w:tblPrEx>
        <w:trPr>
          <w:trHeight w:val="454" w:hRule="atLeast"/>
          <w:jc w:val="center"/>
        </w:trPr>
        <w:tc>
          <w:tcPr>
            <w:tcW w:w="693" w:type="pct"/>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事项管理</w:t>
            </w:r>
          </w:p>
        </w:tc>
        <w:tc>
          <w:tcPr>
            <w:tcW w:w="86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监管有效性</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85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86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87.5%</w:t>
            </w:r>
          </w:p>
        </w:tc>
      </w:tr>
      <w:tr>
        <w:tblPrEx>
          <w:tblCellMar>
            <w:top w:w="0" w:type="dxa"/>
            <w:left w:w="108" w:type="dxa"/>
            <w:bottom w:w="0" w:type="dxa"/>
            <w:right w:w="108" w:type="dxa"/>
          </w:tblCellMar>
        </w:tblPrEx>
        <w:trPr>
          <w:trHeight w:val="454" w:hRule="atLeast"/>
          <w:jc w:val="center"/>
        </w:trPr>
        <w:tc>
          <w:tcPr>
            <w:tcW w:w="2419" w:type="pct"/>
            <w:gridSpan w:val="3"/>
            <w:tcBorders>
              <w:top w:val="single" w:color="auto" w:sz="4" w:space="0"/>
              <w:left w:val="single" w:color="auto" w:sz="4" w:space="0"/>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合计</w:t>
            </w:r>
          </w:p>
        </w:tc>
        <w:tc>
          <w:tcPr>
            <w:tcW w:w="858" w:type="pct"/>
            <w:tcBorders>
              <w:top w:val="single" w:color="auto" w:sz="4" w:space="0"/>
              <w:left w:val="single" w:color="auto" w:sz="4" w:space="0"/>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20</w:t>
            </w:r>
          </w:p>
        </w:tc>
        <w:tc>
          <w:tcPr>
            <w:tcW w:w="858" w:type="pct"/>
            <w:tcBorders>
              <w:top w:val="single" w:color="auto" w:sz="4" w:space="0"/>
              <w:left w:val="single" w:color="auto" w:sz="4" w:space="0"/>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17.</w:t>
            </w:r>
            <w:r>
              <w:rPr>
                <w:rFonts w:ascii="仿宋_GB2312" w:hAnsi="仿宋_GB2312" w:eastAsia="仿宋_GB2312" w:cs="仿宋_GB2312"/>
                <w:b/>
                <w:bCs/>
                <w:sz w:val="24"/>
              </w:rPr>
              <w:t>4</w:t>
            </w:r>
          </w:p>
        </w:tc>
        <w:tc>
          <w:tcPr>
            <w:tcW w:w="863" w:type="pct"/>
            <w:tcBorders>
              <w:top w:val="single" w:color="auto" w:sz="4" w:space="0"/>
              <w:left w:val="single" w:color="auto" w:sz="4" w:space="0"/>
              <w:bottom w:val="single" w:color="auto" w:sz="4" w:space="0"/>
              <w:right w:val="single" w:color="auto" w:sz="4" w:space="0"/>
            </w:tcBorders>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87%</w:t>
            </w:r>
          </w:p>
        </w:tc>
      </w:tr>
    </w:tbl>
    <w:p>
      <w:pPr>
        <w:widowControl w:val="0"/>
        <w:autoSpaceDN/>
        <w:adjustRightInd/>
        <w:snapToGrid/>
        <w:spacing w:before="156" w:beforeLines="50" w:line="360" w:lineRule="auto"/>
        <w:ind w:firstLine="643" w:firstLineChars="200"/>
        <w:jc w:val="both"/>
        <w:rPr>
          <w:rFonts w:ascii="仿宋_GB2312" w:eastAsia="仿宋_GB2312" w:cs="Times New Roman"/>
          <w:b/>
          <w:bCs/>
          <w:kern w:val="2"/>
          <w:sz w:val="32"/>
          <w:szCs w:val="32"/>
        </w:rPr>
      </w:pPr>
      <w:r>
        <w:rPr>
          <w:rFonts w:hint="eastAsia" w:ascii="仿宋_GB2312" w:hAnsi="仿宋_GB2312" w:eastAsia="仿宋_GB2312" w:cs="仿宋_GB2312"/>
          <w:b/>
          <w:bCs/>
          <w:kern w:val="2"/>
          <w:sz w:val="32"/>
          <w:szCs w:val="32"/>
          <w:lang w:bidi="ar"/>
        </w:rPr>
        <w:t>①资金管理</w:t>
      </w:r>
    </w:p>
    <w:p>
      <w:pPr>
        <w:adjustRightInd/>
        <w:snapToGrid/>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截止2022年12月31日，项目资金支出合计230920.85万元，预算执行率86.97%。该指标分值12分，自评得分10.</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分，得分率8</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w:t>
      </w:r>
    </w:p>
    <w:p>
      <w:pPr>
        <w:widowControl w:val="0"/>
        <w:autoSpaceDN/>
        <w:adjustRightInd/>
        <w:snapToGrid/>
        <w:spacing w:line="360" w:lineRule="auto"/>
        <w:ind w:firstLine="643" w:firstLineChars="200"/>
        <w:jc w:val="both"/>
        <w:textAlignment w:val="auto"/>
        <w:rPr>
          <w:rFonts w:ascii="仿宋_GB2312" w:eastAsia="仿宋_GB2312" w:cs="Times New Roman"/>
          <w:b/>
          <w:bCs/>
          <w:kern w:val="2"/>
          <w:sz w:val="32"/>
          <w:szCs w:val="32"/>
        </w:rPr>
      </w:pPr>
      <w:r>
        <w:rPr>
          <w:rFonts w:hint="eastAsia" w:ascii="仿宋_GB2312" w:hAnsi="仿宋_GB2312" w:eastAsia="仿宋_GB2312" w:cs="仿宋_GB2312"/>
          <w:b/>
          <w:bCs/>
          <w:kern w:val="2"/>
          <w:sz w:val="32"/>
          <w:szCs w:val="32"/>
          <w:lang w:bidi="ar"/>
        </w:rPr>
        <w:t>②事项管理</w:t>
      </w:r>
    </w:p>
    <w:p>
      <w:pPr>
        <w:adjustRightInd/>
        <w:snapToGrid/>
        <w:spacing w:line="360" w:lineRule="auto"/>
        <w:ind w:firstLine="640" w:firstLineChars="200"/>
        <w:jc w:val="both"/>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我局根据《广东省省级生态公益林效益补偿资金管理办法》（粤财农〔2018〕322号）等省级财政专项资金管理办法的相关规定，结合森林资源管理“一张图”年度更新数据情况，编制了2022年</w:t>
      </w:r>
      <w:r>
        <w:rPr>
          <w:rFonts w:hint="eastAsia" w:ascii="仿宋_GB2312" w:hAnsi="仿宋_GB2312" w:eastAsia="仿宋_GB2312" w:cs="仿宋_GB2312"/>
          <w:snapToGrid/>
          <w:color w:val="auto"/>
          <w:kern w:val="2"/>
          <w:sz w:val="32"/>
          <w:szCs w:val="24"/>
        </w:rPr>
        <w:t>“省级以上生态公益林效益补偿资金”</w:t>
      </w:r>
      <w:r>
        <w:rPr>
          <w:rFonts w:hint="eastAsia" w:ascii="仿宋_GB2312" w:hAnsi="仿宋_GB2312" w:eastAsia="仿宋_GB2312" w:cs="仿宋_GB2312"/>
          <w:color w:val="auto"/>
          <w:sz w:val="32"/>
          <w:szCs w:val="32"/>
        </w:rPr>
        <w:t>分配方案，报送广东省财政厅。项目实施过程中，我局严格按照《广东省财政厅关于印发〈省级单位预算执行支出进度通报办法〉的通知》（粤财监〔2021〕22号）的规定，定期对预算执行进度、主管的转移支付资金支出进度情况通报。在资金使用监督方面，我局通过林业项目资金“双监控”情况报备和实地调研等方式跟踪各地公益林效益补偿资金发放进度。各用款单位项目采购审批流程完善、招投标及合同执行等方面工作总体比较规范，能够按规定程序实施，执行情况良好。但</w:t>
      </w:r>
      <w:r>
        <w:rPr>
          <w:rFonts w:hint="eastAsia" w:ascii="仿宋_GB2312" w:hAnsi="仿宋_GB2312" w:eastAsia="仿宋_GB2312" w:cs="仿宋_GB2312"/>
          <w:color w:val="auto"/>
          <w:sz w:val="32"/>
          <w:szCs w:val="32"/>
          <w:lang w:bidi="ar"/>
        </w:rPr>
        <w:t>部分公益林的森林质量不高、林分结构不优。</w:t>
      </w:r>
      <w:r>
        <w:rPr>
          <w:rFonts w:hint="eastAsia" w:ascii="仿宋_GB2312" w:hAnsi="仿宋_GB2312" w:eastAsia="仿宋_GB2312" w:cs="仿宋_GB2312"/>
          <w:color w:val="auto"/>
          <w:sz w:val="32"/>
          <w:szCs w:val="32"/>
        </w:rPr>
        <w:t>该指标分值8分，自评得分7分，得分率87.5%。</w:t>
      </w:r>
    </w:p>
    <w:p>
      <w:pPr>
        <w:pStyle w:val="5"/>
        <w:keepNext w:val="0"/>
        <w:keepLines w:val="0"/>
        <w:widowControl w:val="0"/>
        <w:autoSpaceDN/>
        <w:adjustRightInd/>
        <w:snapToGrid/>
        <w:ind w:firstLine="640"/>
        <w:textAlignment w:val="auto"/>
        <w:rPr>
          <w:rFonts w:ascii="仿宋_GB2312" w:hAnsi="仿宋_GB2312" w:eastAsia="仿宋_GB2312" w:cs="Times New Roman"/>
          <w:snapToGrid/>
          <w:kern w:val="2"/>
          <w:szCs w:val="24"/>
        </w:rPr>
      </w:pPr>
      <w:r>
        <w:rPr>
          <w:rFonts w:hint="eastAsia" w:ascii="仿宋_GB2312" w:hAnsi="仿宋_GB2312" w:eastAsia="仿宋_GB2312" w:cs="Times New Roman"/>
          <w:snapToGrid/>
          <w:kern w:val="2"/>
          <w:szCs w:val="24"/>
        </w:rPr>
        <w:t>（2）产出。</w:t>
      </w:r>
    </w:p>
    <w:p>
      <w:pPr>
        <w:widowControl w:val="0"/>
        <w:adjustRightInd/>
        <w:snapToGrid/>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该指标主要考核项目的产出完成情况，包含数量指标、质量指标两个方面。产出指标分值40分，自评得分3</w:t>
      </w: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rPr>
        <w:t>分，得分率为9</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%。该项目产出指标得分情况见表2-3所示。</w:t>
      </w:r>
    </w:p>
    <w:p>
      <w:pPr>
        <w:adjustRightInd/>
        <w:snapToGrid/>
        <w:spacing w:line="360" w:lineRule="auto"/>
        <w:ind w:firstLine="561"/>
        <w:jc w:val="center"/>
        <w:rPr>
          <w:rFonts w:ascii="黑体" w:hAnsi="黑体" w:eastAsia="黑体" w:cs="黑体"/>
          <w:sz w:val="28"/>
          <w:szCs w:val="28"/>
        </w:rPr>
      </w:pPr>
      <w:r>
        <w:rPr>
          <w:rFonts w:hint="eastAsia" w:ascii="黑体" w:hAnsi="黑体" w:eastAsia="黑体" w:cs="黑体"/>
          <w:sz w:val="28"/>
          <w:szCs w:val="28"/>
        </w:rPr>
        <w:t>表2-3 项目产出指标得分情况表</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842"/>
        <w:gridCol w:w="2266"/>
        <w:gridCol w:w="1296"/>
        <w:gridCol w:w="1089"/>
        <w:gridCol w:w="765"/>
        <w:gridCol w:w="779"/>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5"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一级指标</w:t>
            </w:r>
          </w:p>
        </w:tc>
        <w:tc>
          <w:tcPr>
            <w:tcW w:w="495"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二级指标</w:t>
            </w:r>
          </w:p>
        </w:tc>
        <w:tc>
          <w:tcPr>
            <w:tcW w:w="1330"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三级指标</w:t>
            </w:r>
          </w:p>
        </w:tc>
        <w:tc>
          <w:tcPr>
            <w:tcW w:w="760"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预期值</w:t>
            </w:r>
          </w:p>
        </w:tc>
        <w:tc>
          <w:tcPr>
            <w:tcW w:w="636"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实现值</w:t>
            </w:r>
          </w:p>
        </w:tc>
        <w:tc>
          <w:tcPr>
            <w:tcW w:w="449"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指标分值</w:t>
            </w:r>
          </w:p>
        </w:tc>
        <w:tc>
          <w:tcPr>
            <w:tcW w:w="457"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自评</w:t>
            </w:r>
          </w:p>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c>
          <w:tcPr>
            <w:tcW w:w="454"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5" w:type="pct"/>
            <w:vMerge w:val="restart"/>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产出</w:t>
            </w:r>
          </w:p>
        </w:tc>
        <w:tc>
          <w:tcPr>
            <w:tcW w:w="495" w:type="pct"/>
            <w:vMerge w:val="restart"/>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330"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省级生态公益林面积（万亩）</w:t>
            </w:r>
          </w:p>
        </w:tc>
        <w:tc>
          <w:tcPr>
            <w:tcW w:w="76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6747.94</w:t>
            </w:r>
          </w:p>
        </w:tc>
        <w:tc>
          <w:tcPr>
            <w:tcW w:w="636" w:type="pct"/>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6747.94</w:t>
            </w:r>
          </w:p>
        </w:tc>
        <w:tc>
          <w:tcPr>
            <w:tcW w:w="449"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457"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454" w:type="pct"/>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5" w:type="pct"/>
            <w:vMerge w:val="continue"/>
            <w:vAlign w:val="center"/>
          </w:tcPr>
          <w:p>
            <w:pPr>
              <w:spacing w:line="300" w:lineRule="exact"/>
              <w:jc w:val="center"/>
              <w:rPr>
                <w:rFonts w:ascii="仿宋_GB2312" w:hAnsi="仿宋_GB2312" w:eastAsia="仿宋_GB2312" w:cs="仿宋_GB2312"/>
                <w:sz w:val="24"/>
                <w:szCs w:val="24"/>
              </w:rPr>
            </w:pPr>
          </w:p>
        </w:tc>
        <w:tc>
          <w:tcPr>
            <w:tcW w:w="495" w:type="pct"/>
            <w:vMerge w:val="continue"/>
            <w:vAlign w:val="center"/>
          </w:tcPr>
          <w:p>
            <w:pPr>
              <w:spacing w:line="300" w:lineRule="exact"/>
              <w:jc w:val="center"/>
              <w:rPr>
                <w:rFonts w:ascii="仿宋_GB2312" w:hAnsi="仿宋_GB2312" w:eastAsia="仿宋_GB2312" w:cs="仿宋_GB2312"/>
                <w:sz w:val="24"/>
                <w:szCs w:val="24"/>
              </w:rPr>
            </w:pPr>
          </w:p>
        </w:tc>
        <w:tc>
          <w:tcPr>
            <w:tcW w:w="1330"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建设公益林示范区</w:t>
            </w:r>
          </w:p>
        </w:tc>
        <w:tc>
          <w:tcPr>
            <w:tcW w:w="760"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636" w:type="pct"/>
            <w:vAlign w:val="center"/>
          </w:tcPr>
          <w:p>
            <w:pPr>
              <w:spacing w:line="300" w:lineRule="exact"/>
              <w:jc w:val="center"/>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p>
        </w:tc>
        <w:tc>
          <w:tcPr>
            <w:tcW w:w="449"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457"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454"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5" w:type="pct"/>
            <w:vMerge w:val="continue"/>
            <w:vAlign w:val="center"/>
          </w:tcPr>
          <w:p>
            <w:pPr>
              <w:spacing w:line="300" w:lineRule="exact"/>
              <w:jc w:val="center"/>
              <w:rPr>
                <w:rFonts w:ascii="仿宋_GB2312" w:hAnsi="仿宋_GB2312" w:eastAsia="仿宋_GB2312" w:cs="仿宋_GB2312"/>
                <w:sz w:val="24"/>
                <w:szCs w:val="24"/>
              </w:rPr>
            </w:pPr>
          </w:p>
        </w:tc>
        <w:tc>
          <w:tcPr>
            <w:tcW w:w="495"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质量指标</w:t>
            </w:r>
          </w:p>
        </w:tc>
        <w:tc>
          <w:tcPr>
            <w:tcW w:w="1330"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公益林管护水平</w:t>
            </w:r>
          </w:p>
        </w:tc>
        <w:tc>
          <w:tcPr>
            <w:tcW w:w="760"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平均</w:t>
            </w:r>
            <w:r>
              <w:rPr>
                <w:rFonts w:ascii="仿宋_GB2312" w:hAnsi="仿宋_GB2312" w:eastAsia="仿宋_GB2312" w:cs="仿宋_GB2312"/>
                <w:sz w:val="24"/>
                <w:szCs w:val="24"/>
              </w:rPr>
              <w:t>3000-5000</w:t>
            </w:r>
            <w:r>
              <w:rPr>
                <w:rFonts w:hint="eastAsia" w:ascii="仿宋_GB2312" w:hAnsi="仿宋_GB2312" w:eastAsia="仿宋_GB2312" w:cs="仿宋_GB2312"/>
                <w:sz w:val="24"/>
                <w:szCs w:val="24"/>
              </w:rPr>
              <w:t>亩一名管</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护人员</w:t>
            </w:r>
          </w:p>
        </w:tc>
        <w:tc>
          <w:tcPr>
            <w:tcW w:w="636" w:type="pct"/>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平均每2</w:t>
            </w:r>
            <w:r>
              <w:rPr>
                <w:rFonts w:ascii="仿宋_GB2312" w:hAnsi="仿宋_GB2312" w:eastAsia="仿宋_GB2312" w:cs="仿宋_GB2312"/>
                <w:sz w:val="24"/>
                <w:szCs w:val="24"/>
              </w:rPr>
              <w:t>050</w:t>
            </w:r>
            <w:r>
              <w:rPr>
                <w:rFonts w:hint="eastAsia" w:ascii="仿宋_GB2312" w:hAnsi="仿宋_GB2312" w:eastAsia="仿宋_GB2312" w:cs="仿宋_GB2312"/>
                <w:sz w:val="24"/>
                <w:szCs w:val="24"/>
              </w:rPr>
              <w:t>亩一名管</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护人员</w:t>
            </w:r>
          </w:p>
        </w:tc>
        <w:tc>
          <w:tcPr>
            <w:tcW w:w="449"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457" w:type="pct"/>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454" w:type="pct"/>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100</w:t>
            </w:r>
            <w:r>
              <w:rPr>
                <w:rFonts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5" w:type="pct"/>
            <w:vMerge w:val="continue"/>
            <w:vAlign w:val="center"/>
          </w:tcPr>
          <w:p>
            <w:pPr>
              <w:spacing w:line="300" w:lineRule="exact"/>
              <w:jc w:val="center"/>
              <w:rPr>
                <w:rFonts w:ascii="仿宋_GB2312" w:hAnsi="仿宋_GB2312" w:eastAsia="仿宋_GB2312" w:cs="仿宋_GB2312"/>
                <w:sz w:val="24"/>
                <w:szCs w:val="24"/>
              </w:rPr>
            </w:pPr>
          </w:p>
        </w:tc>
        <w:tc>
          <w:tcPr>
            <w:tcW w:w="495" w:type="pct"/>
            <w:vMerge w:val="restart"/>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330"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资金使用率</w:t>
            </w:r>
          </w:p>
        </w:tc>
        <w:tc>
          <w:tcPr>
            <w:tcW w:w="760"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≥90%</w:t>
            </w:r>
          </w:p>
        </w:tc>
        <w:tc>
          <w:tcPr>
            <w:tcW w:w="636"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86.97%</w:t>
            </w:r>
          </w:p>
        </w:tc>
        <w:tc>
          <w:tcPr>
            <w:tcW w:w="449"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457"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5.8</w:t>
            </w:r>
          </w:p>
        </w:tc>
        <w:tc>
          <w:tcPr>
            <w:tcW w:w="454"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5" w:type="pct"/>
            <w:vMerge w:val="continue"/>
            <w:vAlign w:val="center"/>
          </w:tcPr>
          <w:p>
            <w:pPr>
              <w:spacing w:line="300" w:lineRule="exact"/>
              <w:jc w:val="center"/>
              <w:rPr>
                <w:rFonts w:ascii="仿宋_GB2312" w:hAnsi="仿宋_GB2312" w:eastAsia="仿宋_GB2312" w:cs="仿宋_GB2312"/>
                <w:sz w:val="24"/>
                <w:szCs w:val="24"/>
              </w:rPr>
            </w:pPr>
          </w:p>
        </w:tc>
        <w:tc>
          <w:tcPr>
            <w:tcW w:w="495" w:type="pct"/>
            <w:vMerge w:val="continue"/>
            <w:vAlign w:val="center"/>
          </w:tcPr>
          <w:p>
            <w:pPr>
              <w:spacing w:line="300" w:lineRule="exact"/>
              <w:jc w:val="center"/>
              <w:rPr>
                <w:rFonts w:ascii="仿宋_GB2312" w:hAnsi="仿宋_GB2312" w:eastAsia="仿宋_GB2312" w:cs="仿宋_GB2312"/>
                <w:sz w:val="24"/>
                <w:szCs w:val="24"/>
              </w:rPr>
            </w:pPr>
          </w:p>
        </w:tc>
        <w:tc>
          <w:tcPr>
            <w:tcW w:w="1330"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11"/>
                <w:sz w:val="24"/>
                <w:szCs w:val="24"/>
              </w:rPr>
              <w:t>工作任务完成及时率</w:t>
            </w:r>
          </w:p>
        </w:tc>
        <w:tc>
          <w:tcPr>
            <w:tcW w:w="760"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≥90%</w:t>
            </w:r>
          </w:p>
        </w:tc>
        <w:tc>
          <w:tcPr>
            <w:tcW w:w="636"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86.97%</w:t>
            </w:r>
          </w:p>
        </w:tc>
        <w:tc>
          <w:tcPr>
            <w:tcW w:w="449"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457"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5.8</w:t>
            </w:r>
          </w:p>
        </w:tc>
        <w:tc>
          <w:tcPr>
            <w:tcW w:w="454"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5" w:type="pct"/>
            <w:vMerge w:val="continue"/>
            <w:vAlign w:val="center"/>
          </w:tcPr>
          <w:p>
            <w:pPr>
              <w:spacing w:line="300" w:lineRule="exact"/>
              <w:jc w:val="center"/>
              <w:rPr>
                <w:rFonts w:ascii="仿宋_GB2312" w:hAnsi="仿宋_GB2312" w:eastAsia="仿宋_GB2312" w:cs="仿宋_GB2312"/>
                <w:sz w:val="24"/>
                <w:szCs w:val="24"/>
              </w:rPr>
            </w:pPr>
          </w:p>
        </w:tc>
        <w:tc>
          <w:tcPr>
            <w:tcW w:w="495" w:type="pct"/>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成本</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指标</w:t>
            </w:r>
          </w:p>
        </w:tc>
        <w:tc>
          <w:tcPr>
            <w:tcW w:w="1330"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平均补偿标准（元</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亩）</w:t>
            </w:r>
          </w:p>
        </w:tc>
        <w:tc>
          <w:tcPr>
            <w:tcW w:w="760"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44</w:t>
            </w:r>
          </w:p>
        </w:tc>
        <w:tc>
          <w:tcPr>
            <w:tcW w:w="636"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44</w:t>
            </w:r>
          </w:p>
        </w:tc>
        <w:tc>
          <w:tcPr>
            <w:tcW w:w="449"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457"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454" w:type="pct"/>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639" w:type="pct"/>
            <w:gridSpan w:val="5"/>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合计</w:t>
            </w:r>
          </w:p>
        </w:tc>
        <w:tc>
          <w:tcPr>
            <w:tcW w:w="449"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40</w:t>
            </w:r>
          </w:p>
        </w:tc>
        <w:tc>
          <w:tcPr>
            <w:tcW w:w="457" w:type="pct"/>
            <w:shd w:val="clear" w:color="auto" w:fill="D6E3BC"/>
            <w:vAlign w:val="center"/>
          </w:tcPr>
          <w:p>
            <w:pPr>
              <w:spacing w:line="300" w:lineRule="exact"/>
              <w:rPr>
                <w:rFonts w:hint="eastAsia" w:ascii="仿宋_GB2312" w:hAnsi="仿宋_GB2312" w:eastAsia="仿宋_GB2312" w:cs="仿宋_GB2312"/>
                <w:b/>
                <w:bCs/>
                <w:sz w:val="24"/>
                <w:szCs w:val="24"/>
                <w:lang w:eastAsia="zh-CN"/>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lang w:val="en-US" w:eastAsia="zh-CN"/>
              </w:rPr>
              <w:t>9</w:t>
            </w:r>
            <w:r>
              <w:rPr>
                <w:rFonts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w:t>
            </w:r>
          </w:p>
        </w:tc>
        <w:tc>
          <w:tcPr>
            <w:tcW w:w="454" w:type="pct"/>
            <w:shd w:val="clear" w:color="auto" w:fill="D6E3BC"/>
            <w:vAlign w:val="center"/>
          </w:tcPr>
          <w:p>
            <w:pPr>
              <w:spacing w:line="300" w:lineRule="exact"/>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rPr>
              <w:t>9</w:t>
            </w:r>
            <w:r>
              <w:rPr>
                <w:rFonts w:hint="eastAsia" w:ascii="仿宋_GB2312" w:hAnsi="仿宋_GB2312" w:eastAsia="仿宋_GB2312" w:cs="仿宋_GB2312"/>
                <w:b/>
                <w:bCs/>
                <w:sz w:val="24"/>
                <w:szCs w:val="24"/>
                <w:lang w:val="en-US" w:eastAsia="zh-CN"/>
              </w:rPr>
              <w:t>9</w:t>
            </w:r>
            <w:r>
              <w:rPr>
                <w:rFonts w:hint="eastAsia" w:ascii="仿宋_GB2312" w:hAnsi="仿宋_GB2312" w:eastAsia="仿宋_GB2312" w:cs="仿宋_GB2312"/>
                <w:b/>
                <w:bCs/>
                <w:sz w:val="24"/>
                <w:szCs w:val="24"/>
              </w:rPr>
              <w:t>%</w:t>
            </w:r>
          </w:p>
        </w:tc>
      </w:tr>
    </w:tbl>
    <w:p>
      <w:pPr>
        <w:adjustRightInd/>
        <w:snapToGrid/>
        <w:spacing w:before="156" w:beforeLines="50" w:line="360" w:lineRule="auto"/>
        <w:ind w:firstLine="643" w:firstLineChars="200"/>
        <w:rPr>
          <w:rFonts w:ascii="仿宋_GB2312" w:hAnsi="仿宋_GB2312" w:eastAsia="仿宋_GB2312" w:cs="仿宋_GB2312"/>
          <w:b/>
          <w:bCs/>
          <w:kern w:val="2"/>
          <w:sz w:val="32"/>
          <w:szCs w:val="32"/>
          <w:lang w:bidi="ar"/>
        </w:rPr>
      </w:pPr>
      <w:r>
        <w:rPr>
          <w:rFonts w:ascii="仿宋_GB2312" w:hAnsi="仿宋_GB2312" w:eastAsia="仿宋_GB2312" w:cs="仿宋_GB2312"/>
          <w:b/>
          <w:bCs/>
          <w:kern w:val="2"/>
          <w:sz w:val="32"/>
          <w:szCs w:val="32"/>
          <w:lang w:bidi="ar"/>
        </w:rPr>
        <w:t>①</w:t>
      </w:r>
      <w:r>
        <w:rPr>
          <w:rFonts w:hint="eastAsia" w:ascii="仿宋_GB2312" w:hAnsi="仿宋_GB2312" w:eastAsia="仿宋_GB2312" w:cs="仿宋_GB2312"/>
          <w:b/>
          <w:bCs/>
          <w:kern w:val="2"/>
          <w:sz w:val="32"/>
          <w:szCs w:val="32"/>
          <w:lang w:bidi="ar"/>
        </w:rPr>
        <w:t>数量指标</w:t>
      </w:r>
    </w:p>
    <w:p>
      <w:pPr>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“省级生态公益林面积（万亩）”</w:t>
      </w:r>
      <w:r>
        <w:rPr>
          <w:rFonts w:hint="eastAsia" w:ascii="仿宋_GB2312" w:hAnsi="仿宋_GB2312" w:eastAsia="仿宋_GB2312" w:cs="仿宋_GB2312"/>
          <w:bCs/>
          <w:color w:val="auto"/>
          <w:kern w:val="2"/>
          <w:sz w:val="32"/>
          <w:szCs w:val="32"/>
          <w:lang w:bidi="ar"/>
        </w:rPr>
        <w:t>。截至2022年底，2022年“</w:t>
      </w:r>
      <w:r>
        <w:rPr>
          <w:rFonts w:hint="eastAsia" w:ascii="仿宋_GB2312" w:hAnsi="仿宋_GB2312" w:eastAsia="仿宋_GB2312" w:cs="仿宋_GB2312"/>
          <w:sz w:val="32"/>
          <w:szCs w:val="32"/>
        </w:rPr>
        <w:t>省级以上生态公益林效益补偿资金</w:t>
      </w:r>
      <w:r>
        <w:rPr>
          <w:rFonts w:hint="eastAsia" w:ascii="仿宋_GB2312" w:hAnsi="仿宋_GB2312" w:eastAsia="仿宋_GB2312" w:cs="仿宋_GB2312"/>
          <w:bCs/>
          <w:color w:val="auto"/>
          <w:kern w:val="2"/>
          <w:sz w:val="32"/>
          <w:szCs w:val="32"/>
          <w:lang w:bidi="ar"/>
        </w:rPr>
        <w:t>”项目支持公益林补偿与管护面积6747.94万亩。该指标分值7分，自评得分7分，得分率为100%。详见《广东省财政厅关于提前下达2022年省级以上生态公益林效益补偿资金的通知》（粤财资环〔2021〕136号）文件的附表《提前下达2022年省财政省级以上公益林效益补偿资金明细表及任务清单》。</w:t>
      </w:r>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“建设公益林示范区1个”</w:t>
      </w:r>
      <w:r>
        <w:rPr>
          <w:rFonts w:hint="eastAsia" w:ascii="仿宋_GB2312" w:hAnsi="仿宋_GB2312" w:eastAsia="仿宋_GB2312" w:cs="仿宋_GB2312"/>
          <w:bCs/>
          <w:color w:val="auto"/>
          <w:kern w:val="2"/>
          <w:sz w:val="32"/>
          <w:szCs w:val="32"/>
          <w:lang w:bidi="ar"/>
        </w:rPr>
        <w:t>。2022年</w:t>
      </w:r>
      <w:r>
        <w:rPr>
          <w:rFonts w:hint="eastAsia" w:ascii="仿宋_GB2312" w:hAnsi="仿宋_GB2312" w:eastAsia="仿宋_GB2312" w:cs="仿宋_GB2312"/>
          <w:bCs/>
          <w:color w:val="auto"/>
          <w:kern w:val="2"/>
          <w:sz w:val="32"/>
          <w:szCs w:val="32"/>
          <w:lang w:val="en-US" w:eastAsia="zh-CN" w:bidi="ar"/>
        </w:rPr>
        <w:t>安排资金</w:t>
      </w:r>
      <w:r>
        <w:rPr>
          <w:rFonts w:hint="eastAsia" w:ascii="仿宋_GB2312" w:hAnsi="仿宋_GB2312" w:eastAsia="仿宋_GB2312" w:cs="仿宋_GB2312"/>
          <w:bCs/>
          <w:color w:val="auto"/>
          <w:kern w:val="2"/>
          <w:sz w:val="32"/>
          <w:szCs w:val="32"/>
          <w:lang w:bidi="ar"/>
        </w:rPr>
        <w:t>建设公益林示范区1</w:t>
      </w:r>
      <w:r>
        <w:rPr>
          <w:rFonts w:hint="eastAsia" w:ascii="仿宋_GB2312" w:hAnsi="仿宋_GB2312" w:eastAsia="仿宋_GB2312" w:cs="仿宋_GB2312"/>
          <w:bCs/>
          <w:color w:val="auto"/>
          <w:kern w:val="2"/>
          <w:sz w:val="32"/>
          <w:szCs w:val="32"/>
          <w:lang w:val="en-US" w:eastAsia="zh-CN" w:bidi="ar"/>
        </w:rPr>
        <w:t>6</w:t>
      </w:r>
      <w:r>
        <w:rPr>
          <w:rFonts w:hint="eastAsia" w:ascii="仿宋_GB2312" w:hAnsi="仿宋_GB2312" w:eastAsia="仿宋_GB2312" w:cs="仿宋_GB2312"/>
          <w:bCs/>
          <w:color w:val="auto"/>
          <w:kern w:val="2"/>
          <w:sz w:val="32"/>
          <w:szCs w:val="32"/>
          <w:lang w:bidi="ar"/>
        </w:rPr>
        <w:t>个</w:t>
      </w:r>
      <w:r>
        <w:rPr>
          <w:rFonts w:hint="eastAsia" w:ascii="仿宋_GB2312" w:hAnsi="仿宋_GB2312" w:eastAsia="仿宋_GB2312" w:cs="仿宋_GB2312"/>
          <w:bCs/>
          <w:color w:val="auto"/>
          <w:kern w:val="2"/>
          <w:sz w:val="32"/>
          <w:szCs w:val="32"/>
          <w:lang w:eastAsia="zh-CN" w:bidi="ar"/>
        </w:rPr>
        <w:t>，</w:t>
      </w:r>
      <w:r>
        <w:rPr>
          <w:rFonts w:hint="eastAsia" w:ascii="仿宋_GB2312" w:hAnsi="仿宋_GB2312" w:eastAsia="仿宋_GB2312" w:cs="仿宋_GB2312"/>
          <w:bCs/>
          <w:color w:val="auto"/>
          <w:kern w:val="2"/>
          <w:sz w:val="32"/>
          <w:szCs w:val="32"/>
          <w:lang w:val="en-US" w:eastAsia="zh-CN" w:bidi="ar"/>
        </w:rPr>
        <w:t>其中未完成的4个</w:t>
      </w:r>
      <w:r>
        <w:rPr>
          <w:rFonts w:hint="eastAsia" w:ascii="仿宋_GB2312" w:hAnsi="仿宋_GB2312" w:eastAsia="仿宋_GB2312" w:cs="仿宋_GB2312"/>
          <w:bCs/>
          <w:color w:val="auto"/>
          <w:kern w:val="2"/>
          <w:sz w:val="32"/>
          <w:szCs w:val="32"/>
          <w:lang w:bidi="ar"/>
        </w:rPr>
        <w:t>。该指标分值7分，自评得分7分，得分率为100%。具体情况见表2-4所示</w:t>
      </w:r>
    </w:p>
    <w:p>
      <w:pPr>
        <w:adjustRightInd/>
        <w:snapToGrid/>
        <w:spacing w:line="360" w:lineRule="auto"/>
        <w:jc w:val="center"/>
        <w:rPr>
          <w:rFonts w:ascii="黑体" w:hAnsi="黑体" w:eastAsia="黑体" w:cs="黑体"/>
          <w:sz w:val="28"/>
          <w:szCs w:val="28"/>
        </w:rPr>
      </w:pPr>
      <w:r>
        <w:rPr>
          <w:rFonts w:hint="eastAsia" w:ascii="黑体" w:hAnsi="黑体" w:eastAsia="黑体" w:cs="黑体"/>
          <w:sz w:val="28"/>
          <w:szCs w:val="28"/>
        </w:rPr>
        <w:t>表2-</w:t>
      </w:r>
      <w:r>
        <w:rPr>
          <w:rFonts w:ascii="黑体" w:hAnsi="黑体" w:eastAsia="黑体" w:cs="黑体"/>
          <w:sz w:val="28"/>
          <w:szCs w:val="28"/>
        </w:rPr>
        <w:t xml:space="preserve">4 </w:t>
      </w:r>
      <w:r>
        <w:rPr>
          <w:rFonts w:hint="eastAsia" w:ascii="黑体" w:hAnsi="黑体" w:eastAsia="黑体" w:cs="黑体"/>
          <w:sz w:val="28"/>
          <w:szCs w:val="28"/>
        </w:rPr>
        <w:t>“建设公益林示范区”项目情况表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52"/>
        <w:gridCol w:w="3046"/>
        <w:gridCol w:w="1350"/>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13" w:type="pct"/>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21" w:type="pct"/>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申报单位</w:t>
            </w:r>
          </w:p>
        </w:tc>
        <w:tc>
          <w:tcPr>
            <w:tcW w:w="1787" w:type="pct"/>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项目内容</w:t>
            </w:r>
          </w:p>
        </w:tc>
        <w:tc>
          <w:tcPr>
            <w:tcW w:w="792" w:type="pct"/>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安排资金</w:t>
            </w:r>
          </w:p>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（万元）</w:t>
            </w:r>
          </w:p>
        </w:tc>
        <w:tc>
          <w:tcPr>
            <w:tcW w:w="684" w:type="pct"/>
            <w:shd w:val="clear" w:color="auto" w:fill="D6E3BC"/>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21" w:type="pct"/>
            <w:vAlign w:val="center"/>
          </w:tcPr>
          <w:p>
            <w:pP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广东省云浮林场</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用于广东省云浮林场公益林示范区建设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r>
              <w:rPr>
                <w:rFonts w:ascii="仿宋_GB2312" w:hAnsi="仿宋_GB2312" w:eastAsia="仿宋_GB2312" w:cs="仿宋_GB2312"/>
                <w:sz w:val="24"/>
                <w:szCs w:val="24"/>
                <w:lang w:bidi="ar"/>
              </w:rPr>
              <w:t>00</w:t>
            </w:r>
            <w:r>
              <w:rPr>
                <w:rFonts w:hint="eastAsia" w:ascii="仿宋_GB2312" w:hAnsi="仿宋_GB2312" w:eastAsia="仿宋_GB2312" w:cs="仿宋_GB2312"/>
                <w:sz w:val="24"/>
                <w:szCs w:val="24"/>
                <w:lang w:bidi="ar"/>
              </w:rPr>
              <w:t>.00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321" w:type="pct"/>
            <w:vAlign w:val="center"/>
          </w:tcPr>
          <w:p>
            <w:pP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广东省樟木头林场</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用于广东省樟木头林场公益林示范区建设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20</w:t>
            </w:r>
            <w:r>
              <w:rPr>
                <w:rFonts w:hint="eastAsia" w:ascii="仿宋_GB2312" w:hAnsi="仿宋_GB2312" w:eastAsia="仿宋_GB2312" w:cs="仿宋_GB2312"/>
                <w:sz w:val="24"/>
                <w:szCs w:val="24"/>
                <w:lang w:bidi="ar"/>
              </w:rPr>
              <w:t>0.00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321" w:type="pct"/>
            <w:vAlign w:val="center"/>
          </w:tcPr>
          <w:p>
            <w:pPr>
              <w:textAlignment w:val="center"/>
              <w:rPr>
                <w:rFonts w:ascii="仿宋_GB2312" w:hAnsi="仿宋_GB2312" w:eastAsia="仿宋_GB2312" w:cs="仿宋_GB2312"/>
                <w:sz w:val="24"/>
                <w:szCs w:val="24"/>
              </w:rPr>
            </w:pPr>
            <w:r>
              <w:rPr>
                <w:rFonts w:hint="eastAsia" w:ascii="仿宋_GB2312" w:hAnsi="仿宋_GB2312" w:eastAsia="仿宋_GB2312" w:cs="仿宋_GB2312"/>
                <w:spacing w:val="-11"/>
                <w:sz w:val="24"/>
                <w:szCs w:val="24"/>
                <w:lang w:bidi="ar"/>
              </w:rPr>
              <w:t>广东潮安凤凰山省级自然保护区管理处</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pacing w:val="-11"/>
                <w:sz w:val="24"/>
                <w:szCs w:val="24"/>
                <w:lang w:bidi="ar"/>
              </w:rPr>
              <w:t>用于广东潮安凤凰山省级自然保护区公益林示范区建设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w:t>
            </w:r>
            <w:r>
              <w:rPr>
                <w:rFonts w:ascii="仿宋_GB2312" w:hAnsi="仿宋_GB2312" w:eastAsia="仿宋_GB2312" w:cs="仿宋_GB2312"/>
                <w:sz w:val="24"/>
                <w:szCs w:val="24"/>
                <w:lang w:bidi="ar"/>
              </w:rPr>
              <w:t>0</w:t>
            </w:r>
            <w:r>
              <w:rPr>
                <w:rFonts w:hint="eastAsia" w:ascii="仿宋_GB2312" w:hAnsi="仿宋_GB2312" w:eastAsia="仿宋_GB2312" w:cs="仿宋_GB2312"/>
                <w:sz w:val="24"/>
                <w:szCs w:val="24"/>
                <w:lang w:bidi="ar"/>
              </w:rPr>
              <w:t>.00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pacing w:val="-11"/>
                <w:sz w:val="24"/>
                <w:lang w:val="en-US" w:eastAsia="zh-CN"/>
              </w:rPr>
              <w:t>基本</w:t>
            </w:r>
            <w:r>
              <w:rPr>
                <w:rFonts w:hint="eastAsia" w:ascii="仿宋_GB2312" w:hAnsi="仿宋_GB2312" w:eastAsia="仿宋_GB2312" w:cs="仿宋_GB2312"/>
                <w:spacing w:val="-11"/>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321" w:type="pct"/>
            <w:vAlign w:val="center"/>
          </w:tcPr>
          <w:p>
            <w:pPr>
              <w:textAlignment w:val="center"/>
              <w:rPr>
                <w:rFonts w:ascii="仿宋_GB2312" w:hAnsi="仿宋_GB2312" w:eastAsia="仿宋_GB2312" w:cs="仿宋_GB2312"/>
                <w:sz w:val="24"/>
                <w:szCs w:val="24"/>
              </w:rPr>
            </w:pPr>
            <w:r>
              <w:rPr>
                <w:rFonts w:hint="eastAsia" w:ascii="仿宋_GB2312" w:hAnsi="仿宋_GB2312" w:eastAsia="仿宋_GB2312" w:cs="仿宋_GB2312"/>
                <w:spacing w:val="-11"/>
                <w:sz w:val="24"/>
                <w:szCs w:val="24"/>
                <w:lang w:bidi="ar"/>
              </w:rPr>
              <w:t>河源市新丰江林管局</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pacing w:val="-6"/>
                <w:sz w:val="24"/>
                <w:szCs w:val="24"/>
                <w:lang w:bidi="ar"/>
              </w:rPr>
              <w:t>用于锡场公益林示范区建设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20</w:t>
            </w:r>
            <w:r>
              <w:rPr>
                <w:rFonts w:hint="eastAsia" w:ascii="仿宋_GB2312" w:hAnsi="仿宋_GB2312" w:eastAsia="仿宋_GB2312" w:cs="仿宋_GB2312"/>
                <w:sz w:val="24"/>
                <w:szCs w:val="24"/>
                <w:lang w:bidi="ar"/>
              </w:rPr>
              <w:t>0.00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321" w:type="pct"/>
            <w:vAlign w:val="center"/>
          </w:tcPr>
          <w:p>
            <w:pP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惠州市本级</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用于国有梁化林场公益林示范区建设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20</w:t>
            </w:r>
            <w:r>
              <w:rPr>
                <w:rFonts w:hint="eastAsia" w:ascii="仿宋_GB2312" w:hAnsi="仿宋_GB2312" w:eastAsia="仿宋_GB2312" w:cs="仿宋_GB2312"/>
                <w:sz w:val="24"/>
                <w:szCs w:val="24"/>
                <w:lang w:bidi="ar"/>
              </w:rPr>
              <w:t>0.00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pacing w:val="-11"/>
                <w:sz w:val="24"/>
                <w:lang w:val="en-US" w:eastAsia="zh-CN"/>
              </w:rPr>
              <w:t>未</w:t>
            </w:r>
            <w:r>
              <w:rPr>
                <w:rFonts w:hint="eastAsia" w:ascii="仿宋_GB2312" w:hAnsi="仿宋_GB2312" w:eastAsia="仿宋_GB2312" w:cs="仿宋_GB2312"/>
                <w:spacing w:val="-11"/>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321" w:type="pct"/>
            <w:vAlign w:val="center"/>
          </w:tcPr>
          <w:p>
            <w:pP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惠州市本级</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用于国有象头山林场公益林示范区建设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2</w:t>
            </w:r>
            <w:r>
              <w:rPr>
                <w:rFonts w:hint="eastAsia" w:ascii="仿宋_GB2312" w:hAnsi="仿宋_GB2312" w:eastAsia="仿宋_GB2312" w:cs="仿宋_GB2312"/>
                <w:sz w:val="24"/>
                <w:szCs w:val="24"/>
                <w:lang w:bidi="ar"/>
              </w:rPr>
              <w:t>00.00</w:t>
            </w:r>
          </w:p>
        </w:tc>
        <w:tc>
          <w:tcPr>
            <w:tcW w:w="684" w:type="pct"/>
            <w:vAlign w:val="center"/>
          </w:tcPr>
          <w:p>
            <w:pPr>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lang w:val="en-US" w:eastAsia="zh-CN"/>
              </w:rPr>
              <w:t>已</w:t>
            </w:r>
            <w:r>
              <w:rPr>
                <w:rFonts w:hint="eastAsia" w:ascii="仿宋_GB2312" w:hAnsi="仿宋_GB2312" w:eastAsia="仿宋_GB2312" w:cs="仿宋_GB2312"/>
                <w:spacing w:val="-11"/>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321" w:type="pct"/>
            <w:vAlign w:val="center"/>
          </w:tcPr>
          <w:p>
            <w:pP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bidi="ar"/>
              </w:rPr>
              <w:t>惠州市惠东县</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pacing w:val="-17"/>
                <w:sz w:val="24"/>
                <w:szCs w:val="24"/>
                <w:lang w:bidi="ar"/>
              </w:rPr>
              <w:t>用于乌禽嶂公益林示范区建设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ascii="仿宋_GB2312" w:hAnsi="仿宋_GB2312" w:eastAsia="仿宋_GB2312" w:cs="仿宋_GB2312"/>
                <w:sz w:val="24"/>
                <w:szCs w:val="24"/>
                <w:lang w:bidi="ar"/>
              </w:rPr>
              <w:t>2</w:t>
            </w:r>
            <w:r>
              <w:rPr>
                <w:rFonts w:hint="eastAsia" w:ascii="仿宋_GB2312" w:hAnsi="仿宋_GB2312" w:eastAsia="仿宋_GB2312" w:cs="仿宋_GB2312"/>
                <w:sz w:val="24"/>
                <w:szCs w:val="24"/>
                <w:lang w:bidi="ar"/>
              </w:rPr>
              <w:t>00.00</w:t>
            </w:r>
          </w:p>
        </w:tc>
        <w:tc>
          <w:tcPr>
            <w:tcW w:w="684" w:type="pct"/>
            <w:vAlign w:val="center"/>
          </w:tcPr>
          <w:p>
            <w:pPr>
              <w:jc w:val="center"/>
              <w:rPr>
                <w:rFonts w:ascii="仿宋_GB2312" w:hAnsi="仿宋_GB2312" w:eastAsia="仿宋_GB2312" w:cs="仿宋_GB2312"/>
                <w:spacing w:val="-11"/>
                <w:sz w:val="24"/>
              </w:rPr>
            </w:pPr>
            <w:r>
              <w:rPr>
                <w:rFonts w:hint="eastAsia" w:ascii="仿宋_GB2312" w:hAnsi="仿宋_GB2312" w:eastAsia="仿宋_GB2312" w:cs="仿宋_GB2312"/>
                <w:spacing w:val="-11"/>
                <w:sz w:val="24"/>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321" w:type="pct"/>
            <w:vAlign w:val="center"/>
          </w:tcPr>
          <w:p>
            <w:pP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阳江市本级</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用于国有花滩林场公益林示范区建设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r>
              <w:rPr>
                <w:rFonts w:ascii="仿宋_GB2312" w:hAnsi="仿宋_GB2312" w:eastAsia="仿宋_GB2312" w:cs="仿宋_GB2312"/>
                <w:sz w:val="24"/>
                <w:szCs w:val="24"/>
                <w:lang w:bidi="ar"/>
              </w:rPr>
              <w:t>00.00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321" w:type="pct"/>
            <w:vAlign w:val="center"/>
          </w:tcPr>
          <w:p>
            <w:pP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湛江市雷州市</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pacing w:val="-17"/>
                <w:sz w:val="24"/>
                <w:szCs w:val="24"/>
                <w:lang w:bidi="ar"/>
              </w:rPr>
              <w:t>用于雷高镇公益林示范区建设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r>
              <w:rPr>
                <w:rFonts w:ascii="仿宋_GB2312" w:hAnsi="仿宋_GB2312" w:eastAsia="仿宋_GB2312" w:cs="仿宋_GB2312"/>
                <w:sz w:val="24"/>
                <w:szCs w:val="24"/>
                <w:lang w:bidi="ar"/>
              </w:rPr>
              <w:t>00.00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321" w:type="pct"/>
            <w:vAlign w:val="center"/>
          </w:tcPr>
          <w:p>
            <w:pP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茂名市本级</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用于河尾山市级自然保护区公益林示范区建设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r>
              <w:rPr>
                <w:rFonts w:ascii="仿宋_GB2312" w:hAnsi="仿宋_GB2312" w:eastAsia="仿宋_GB2312" w:cs="仿宋_GB2312"/>
                <w:sz w:val="24"/>
                <w:szCs w:val="24"/>
                <w:lang w:bidi="ar"/>
              </w:rPr>
              <w:t>00.00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pacing w:val="-11"/>
                <w:sz w:val="24"/>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321" w:type="pct"/>
            <w:vAlign w:val="center"/>
          </w:tcPr>
          <w:p>
            <w:pP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广州市花都区</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用于梯面林场公益林示范区建设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r>
              <w:rPr>
                <w:rFonts w:ascii="仿宋_GB2312" w:hAnsi="仿宋_GB2312" w:eastAsia="仿宋_GB2312" w:cs="仿宋_GB2312"/>
                <w:sz w:val="24"/>
                <w:szCs w:val="24"/>
                <w:lang w:bidi="ar"/>
              </w:rPr>
              <w:t>00.00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pacing w:val="-11"/>
                <w:sz w:val="24"/>
                <w:lang w:val="en-US" w:eastAsia="zh-CN"/>
              </w:rPr>
              <w:t>基本</w:t>
            </w:r>
            <w:r>
              <w:rPr>
                <w:rFonts w:hint="eastAsia" w:ascii="仿宋_GB2312" w:hAnsi="仿宋_GB2312" w:eastAsia="仿宋_GB2312" w:cs="仿宋_GB2312"/>
                <w:spacing w:val="-11"/>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321" w:type="pct"/>
            <w:vAlign w:val="center"/>
          </w:tcPr>
          <w:p>
            <w:pP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韶关市乳源县</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用于西京古道国家石漠公园公益林示范区建设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r>
              <w:rPr>
                <w:rFonts w:ascii="仿宋_GB2312" w:hAnsi="仿宋_GB2312" w:eastAsia="仿宋_GB2312" w:cs="仿宋_GB2312"/>
                <w:sz w:val="24"/>
                <w:szCs w:val="24"/>
                <w:lang w:bidi="ar"/>
              </w:rPr>
              <w:t>00.00</w:t>
            </w:r>
          </w:p>
        </w:tc>
        <w:tc>
          <w:tcPr>
            <w:tcW w:w="684" w:type="pct"/>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321" w:type="pct"/>
            <w:vAlign w:val="center"/>
          </w:tcPr>
          <w:p>
            <w:pP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韶关市南雄市</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用于鸦子寨公益林示范区建设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r>
              <w:rPr>
                <w:rFonts w:ascii="仿宋_GB2312" w:hAnsi="仿宋_GB2312" w:eastAsia="仿宋_GB2312" w:cs="仿宋_GB2312"/>
                <w:sz w:val="24"/>
                <w:szCs w:val="24"/>
                <w:lang w:bidi="ar"/>
              </w:rPr>
              <w:t>00.00</w:t>
            </w:r>
          </w:p>
        </w:tc>
        <w:tc>
          <w:tcPr>
            <w:tcW w:w="684" w:type="pct"/>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321" w:type="pct"/>
            <w:vAlign w:val="center"/>
          </w:tcPr>
          <w:p>
            <w:pP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韶关市仁化县</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用于锦江两岸公益林示范区建设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r>
              <w:rPr>
                <w:rFonts w:ascii="仿宋_GB2312" w:hAnsi="仿宋_GB2312" w:eastAsia="仿宋_GB2312" w:cs="仿宋_GB2312"/>
                <w:sz w:val="24"/>
                <w:szCs w:val="24"/>
                <w:lang w:bidi="ar"/>
              </w:rPr>
              <w:t>00.00</w:t>
            </w:r>
          </w:p>
        </w:tc>
        <w:tc>
          <w:tcPr>
            <w:tcW w:w="684"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321" w:type="pct"/>
            <w:vAlign w:val="center"/>
          </w:tcPr>
          <w:p>
            <w:pP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阳江市阳春市</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用于东湖水库生态公益林示范区</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w:t>
            </w:r>
            <w:r>
              <w:rPr>
                <w:rFonts w:ascii="仿宋_GB2312" w:hAnsi="仿宋_GB2312" w:eastAsia="仿宋_GB2312" w:cs="仿宋_GB2312"/>
                <w:sz w:val="24"/>
                <w:szCs w:val="24"/>
                <w:lang w:bidi="ar"/>
              </w:rPr>
              <w:t>50.00</w:t>
            </w:r>
          </w:p>
        </w:tc>
        <w:tc>
          <w:tcPr>
            <w:tcW w:w="684" w:type="pct"/>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未</w:t>
            </w:r>
            <w:r>
              <w:rPr>
                <w:rFonts w:hint="eastAsia" w:ascii="仿宋_GB2312" w:hAnsi="仿宋_GB2312" w:eastAsia="仿宋_GB2312" w:cs="仿宋_GB2312"/>
                <w:sz w:val="24"/>
                <w:highlight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3" w:type="pc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1321" w:type="pct"/>
            <w:vAlign w:val="center"/>
          </w:tcPr>
          <w:p>
            <w:pP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清远市连南县</w:t>
            </w:r>
          </w:p>
        </w:tc>
        <w:tc>
          <w:tcPr>
            <w:tcW w:w="1787"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用于万山朝王国家石漠公园公益林范区建设</w:t>
            </w:r>
          </w:p>
        </w:tc>
        <w:tc>
          <w:tcPr>
            <w:tcW w:w="792" w:type="pct"/>
            <w:vAlign w:val="center"/>
          </w:tcPr>
          <w:p>
            <w:pPr>
              <w:jc w:val="center"/>
              <w:textAlignment w:val="center"/>
              <w:rPr>
                <w:rFonts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w:t>
            </w:r>
            <w:r>
              <w:rPr>
                <w:rFonts w:ascii="仿宋_GB2312" w:hAnsi="仿宋_GB2312" w:eastAsia="仿宋_GB2312" w:cs="仿宋_GB2312"/>
                <w:sz w:val="24"/>
                <w:szCs w:val="24"/>
                <w:lang w:bidi="ar"/>
              </w:rPr>
              <w:t>50.00</w:t>
            </w:r>
          </w:p>
        </w:tc>
        <w:tc>
          <w:tcPr>
            <w:tcW w:w="684" w:type="pct"/>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pacing w:val="-11"/>
                <w:sz w:val="24"/>
                <w:highlight w:val="none"/>
                <w:lang w:val="en-US" w:eastAsia="zh-CN"/>
              </w:rPr>
              <w:t>未</w:t>
            </w:r>
            <w:r>
              <w:rPr>
                <w:rFonts w:hint="eastAsia" w:ascii="仿宋_GB2312" w:hAnsi="仿宋_GB2312" w:eastAsia="仿宋_GB2312" w:cs="仿宋_GB2312"/>
                <w:spacing w:val="-11"/>
                <w:sz w:val="24"/>
                <w:highlight w:val="none"/>
              </w:rPr>
              <w:t>完成</w:t>
            </w:r>
          </w:p>
        </w:tc>
      </w:tr>
    </w:tbl>
    <w:p>
      <w:pPr>
        <w:widowControl w:val="0"/>
        <w:autoSpaceDN/>
        <w:adjustRightInd/>
        <w:snapToGrid/>
        <w:spacing w:before="156" w:beforeLines="50" w:line="360" w:lineRule="auto"/>
        <w:ind w:firstLine="643" w:firstLineChars="200"/>
        <w:textAlignment w:val="auto"/>
        <w:rPr>
          <w:rFonts w:ascii="仿宋_GB2312" w:hAnsi="仿宋_GB2312" w:eastAsia="仿宋_GB2312" w:cs="仿宋_GB2312"/>
          <w:b/>
          <w:bCs/>
          <w:sz w:val="32"/>
          <w:szCs w:val="32"/>
          <w:lang w:bidi="ar"/>
        </w:rPr>
      </w:pPr>
      <w:r>
        <w:rPr>
          <w:rFonts w:ascii="仿宋_GB2312" w:hAnsi="仿宋_GB2312" w:eastAsia="仿宋_GB2312" w:cs="仿宋_GB2312"/>
          <w:b/>
          <w:bCs/>
          <w:sz w:val="32"/>
          <w:szCs w:val="32"/>
          <w:lang w:bidi="ar"/>
        </w:rPr>
        <w:t>②</w:t>
      </w:r>
      <w:r>
        <w:rPr>
          <w:rFonts w:hint="eastAsia" w:ascii="仿宋_GB2312" w:hAnsi="仿宋_GB2312" w:eastAsia="仿宋_GB2312" w:cs="仿宋_GB2312"/>
          <w:b/>
          <w:bCs/>
          <w:sz w:val="32"/>
          <w:szCs w:val="32"/>
          <w:lang w:bidi="ar"/>
        </w:rPr>
        <w:t>质量指标</w:t>
      </w:r>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“公益林管护水平”。</w:t>
      </w:r>
      <w:r>
        <w:rPr>
          <w:rFonts w:hint="eastAsia" w:ascii="仿宋_GB2312" w:hAnsi="仿宋_GB2312" w:eastAsia="仿宋_GB2312" w:cs="仿宋_GB2312"/>
          <w:bCs/>
          <w:color w:val="auto"/>
          <w:kern w:val="2"/>
          <w:sz w:val="32"/>
          <w:szCs w:val="32"/>
          <w:lang w:bidi="ar"/>
        </w:rPr>
        <w:t>根据广东省公益林总面积6747.94万亩，广东省公益林专题监测系统中护林员统计的总人数32912人，计算得出平均每2050亩一名管护人员。该指标分值7分，自评得分</w:t>
      </w:r>
      <w:r>
        <w:rPr>
          <w:rFonts w:hint="eastAsia" w:ascii="仿宋_GB2312" w:hAnsi="仿宋_GB2312" w:eastAsia="仿宋_GB2312" w:cs="仿宋_GB2312"/>
          <w:bCs/>
          <w:color w:val="auto"/>
          <w:kern w:val="2"/>
          <w:sz w:val="32"/>
          <w:szCs w:val="32"/>
          <w:lang w:val="en-US" w:eastAsia="zh-CN" w:bidi="ar"/>
        </w:rPr>
        <w:t>7</w:t>
      </w:r>
      <w:r>
        <w:rPr>
          <w:rFonts w:hint="eastAsia" w:ascii="仿宋_GB2312" w:hAnsi="仿宋_GB2312" w:eastAsia="仿宋_GB2312" w:cs="仿宋_GB2312"/>
          <w:bCs/>
          <w:color w:val="auto"/>
          <w:kern w:val="2"/>
          <w:sz w:val="32"/>
          <w:szCs w:val="32"/>
          <w:lang w:bidi="ar"/>
        </w:rPr>
        <w:t>分，得分率为</w:t>
      </w:r>
      <w:r>
        <w:rPr>
          <w:rFonts w:hint="eastAsia" w:ascii="仿宋_GB2312" w:hAnsi="仿宋_GB2312" w:eastAsia="仿宋_GB2312" w:cs="仿宋_GB2312"/>
          <w:bCs/>
          <w:color w:val="auto"/>
          <w:kern w:val="2"/>
          <w:sz w:val="32"/>
          <w:szCs w:val="32"/>
          <w:lang w:val="en-US" w:eastAsia="zh-CN" w:bidi="ar"/>
        </w:rPr>
        <w:t>100</w:t>
      </w:r>
      <w:r>
        <w:rPr>
          <w:rFonts w:hint="eastAsia" w:ascii="仿宋_GB2312" w:hAnsi="仿宋_GB2312" w:eastAsia="仿宋_GB2312" w:cs="仿宋_GB2312"/>
          <w:bCs/>
          <w:color w:val="auto"/>
          <w:kern w:val="2"/>
          <w:sz w:val="32"/>
          <w:szCs w:val="32"/>
          <w:lang w:bidi="ar"/>
        </w:rPr>
        <w:t>%。</w:t>
      </w:r>
    </w:p>
    <w:p>
      <w:pPr>
        <w:pStyle w:val="15"/>
        <w:widowControl w:val="0"/>
        <w:adjustRightInd/>
        <w:snapToGrid/>
        <w:spacing w:after="0"/>
        <w:ind w:left="0" w:leftChars="0" w:firstLine="640"/>
        <w:rPr>
          <w:rFonts w:cs="仿宋_GB2312"/>
          <w:b/>
          <w:bCs/>
          <w:szCs w:val="32"/>
          <w:lang w:bidi="ar"/>
        </w:rPr>
      </w:pPr>
      <w:r>
        <w:rPr>
          <w:rFonts w:cs="仿宋_GB2312"/>
          <w:b/>
          <w:bCs/>
          <w:szCs w:val="32"/>
          <w:lang w:bidi="ar"/>
        </w:rPr>
        <w:t>③</w:t>
      </w:r>
      <w:r>
        <w:rPr>
          <w:rFonts w:hint="eastAsia" w:cs="仿宋_GB2312"/>
          <w:b/>
          <w:bCs/>
          <w:szCs w:val="32"/>
          <w:lang w:bidi="ar"/>
        </w:rPr>
        <w:t>时效指标</w:t>
      </w:r>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“资金使用率”。</w:t>
      </w:r>
      <w:r>
        <w:rPr>
          <w:rFonts w:hint="eastAsia" w:ascii="仿宋_GB2312" w:hAnsi="仿宋_GB2312" w:eastAsia="仿宋_GB2312" w:cs="仿宋_GB2312"/>
          <w:snapToGrid/>
          <w:color w:val="auto"/>
          <w:kern w:val="2"/>
          <w:sz w:val="32"/>
          <w:szCs w:val="24"/>
        </w:rPr>
        <w:t>“省级以上生态公益林效益补偿资金”</w:t>
      </w:r>
      <w:r>
        <w:rPr>
          <w:rFonts w:hint="eastAsia" w:ascii="仿宋_GB2312" w:hAnsi="仿宋_GB2312" w:eastAsia="仿宋_GB2312" w:cs="仿宋_GB2312"/>
          <w:bCs/>
          <w:color w:val="auto"/>
          <w:kern w:val="2"/>
          <w:sz w:val="32"/>
          <w:szCs w:val="32"/>
          <w:lang w:bidi="ar"/>
        </w:rPr>
        <w:t>总金额265511.00万元，项目资金支出合计2</w:t>
      </w:r>
      <w:r>
        <w:rPr>
          <w:rFonts w:ascii="仿宋_GB2312" w:hAnsi="仿宋_GB2312" w:eastAsia="仿宋_GB2312" w:cs="仿宋_GB2312"/>
          <w:bCs/>
          <w:color w:val="auto"/>
          <w:kern w:val="2"/>
          <w:sz w:val="32"/>
          <w:szCs w:val="32"/>
          <w:lang w:bidi="ar"/>
        </w:rPr>
        <w:t>30920.85</w:t>
      </w:r>
      <w:r>
        <w:rPr>
          <w:rFonts w:hint="eastAsia" w:ascii="仿宋_GB2312" w:hAnsi="仿宋_GB2312" w:eastAsia="仿宋_GB2312" w:cs="仿宋_GB2312"/>
          <w:bCs/>
          <w:color w:val="auto"/>
          <w:kern w:val="2"/>
          <w:sz w:val="32"/>
          <w:szCs w:val="32"/>
          <w:lang w:bidi="ar"/>
        </w:rPr>
        <w:t>万元，预算执行率8</w:t>
      </w:r>
      <w:r>
        <w:rPr>
          <w:rFonts w:ascii="仿宋_GB2312" w:hAnsi="仿宋_GB2312" w:eastAsia="仿宋_GB2312" w:cs="仿宋_GB2312"/>
          <w:bCs/>
          <w:color w:val="auto"/>
          <w:kern w:val="2"/>
          <w:sz w:val="32"/>
          <w:szCs w:val="32"/>
          <w:lang w:bidi="ar"/>
        </w:rPr>
        <w:t>6.97</w:t>
      </w:r>
      <w:r>
        <w:rPr>
          <w:rFonts w:hint="eastAsia" w:ascii="仿宋_GB2312" w:hAnsi="仿宋_GB2312" w:eastAsia="仿宋_GB2312" w:cs="仿宋_GB2312"/>
          <w:bCs/>
          <w:color w:val="auto"/>
          <w:kern w:val="2"/>
          <w:sz w:val="32"/>
          <w:szCs w:val="32"/>
          <w:lang w:bidi="ar"/>
        </w:rPr>
        <w:t>%。该指标分值6分，自评得分5.8分，得分率为96%。</w:t>
      </w:r>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“工作任务完成及时率”。</w:t>
      </w:r>
      <w:r>
        <w:rPr>
          <w:rFonts w:hint="eastAsia" w:ascii="仿宋_GB2312" w:hAnsi="仿宋_GB2312" w:eastAsia="仿宋_GB2312" w:cs="仿宋_GB2312"/>
          <w:bCs/>
          <w:color w:val="auto"/>
          <w:kern w:val="2"/>
          <w:sz w:val="32"/>
          <w:szCs w:val="32"/>
          <w:lang w:bidi="ar"/>
        </w:rPr>
        <w:t>部分单位由于资金拨付等问题导致任务完成及时率受影响，总体任务完成率为8</w:t>
      </w:r>
      <w:r>
        <w:rPr>
          <w:rFonts w:ascii="仿宋_GB2312" w:hAnsi="仿宋_GB2312" w:eastAsia="仿宋_GB2312" w:cs="仿宋_GB2312"/>
          <w:bCs/>
          <w:color w:val="auto"/>
          <w:kern w:val="2"/>
          <w:sz w:val="32"/>
          <w:szCs w:val="32"/>
          <w:lang w:bidi="ar"/>
        </w:rPr>
        <w:t>6.97</w:t>
      </w:r>
      <w:r>
        <w:rPr>
          <w:rFonts w:hint="eastAsia" w:ascii="仿宋_GB2312" w:hAnsi="仿宋_GB2312" w:eastAsia="仿宋_GB2312" w:cs="仿宋_GB2312"/>
          <w:bCs/>
          <w:color w:val="auto"/>
          <w:kern w:val="2"/>
          <w:sz w:val="32"/>
          <w:szCs w:val="32"/>
          <w:lang w:bidi="ar"/>
        </w:rPr>
        <w:t>%。该指标分值6分，自评得分5.8分，得分率为96%。</w:t>
      </w:r>
    </w:p>
    <w:p>
      <w:pPr>
        <w:adjustRightInd/>
        <w:snapToGrid/>
        <w:spacing w:line="360" w:lineRule="auto"/>
        <w:ind w:firstLine="643" w:firstLineChars="200"/>
        <w:rPr>
          <w:rFonts w:ascii="仿宋_GB2312" w:hAnsi="仿宋_GB2312" w:eastAsia="仿宋_GB2312" w:cs="仿宋_GB2312"/>
          <w:b/>
          <w:bCs/>
          <w:kern w:val="2"/>
          <w:sz w:val="32"/>
          <w:szCs w:val="32"/>
          <w:lang w:bidi="ar"/>
        </w:rPr>
      </w:pPr>
      <w:r>
        <w:rPr>
          <w:rFonts w:hint="eastAsia" w:ascii="仿宋_GB2312" w:hAnsi="仿宋_GB2312" w:eastAsia="仿宋_GB2312" w:cs="仿宋_GB2312"/>
          <w:b/>
          <w:bCs/>
          <w:kern w:val="2"/>
          <w:sz w:val="32"/>
          <w:szCs w:val="32"/>
          <w:lang w:bidi="ar"/>
        </w:rPr>
        <w:t>④成本指标</w:t>
      </w:r>
    </w:p>
    <w:p>
      <w:pPr>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“平均补偿标准（元/亩）”。</w:t>
      </w:r>
      <w:r>
        <w:rPr>
          <w:rFonts w:hint="eastAsia" w:ascii="仿宋_GB2312" w:hAnsi="仿宋_GB2312" w:eastAsia="仿宋_GB2312" w:cs="仿宋_GB2312"/>
          <w:bCs/>
          <w:color w:val="auto"/>
          <w:kern w:val="2"/>
          <w:sz w:val="32"/>
          <w:szCs w:val="32"/>
          <w:lang w:bidi="ar"/>
        </w:rPr>
        <w:t>根据《广东省财政厅关于提前下达2022年省级以上生态公益林效益补偿资金的通知》（粤财资环〔2021〕136号），明确2022年省级以上生态公益林效益平均补偿标准为44元/亩。该指标分值7分，自评得分7分，得分率为100%。</w:t>
      </w:r>
    </w:p>
    <w:p>
      <w:pPr>
        <w:pStyle w:val="5"/>
        <w:keepNext w:val="0"/>
        <w:keepLines w:val="0"/>
        <w:widowControl w:val="0"/>
        <w:autoSpaceDN/>
        <w:adjustRightInd/>
        <w:snapToGrid/>
        <w:spacing w:line="360" w:lineRule="auto"/>
        <w:ind w:firstLine="640"/>
        <w:rPr>
          <w:rFonts w:ascii="仿宋_GB2312" w:hAnsi="仿宋_GB2312" w:eastAsia="仿宋_GB2312" w:cs="仿宋_GB2312"/>
        </w:rPr>
      </w:pPr>
      <w:r>
        <w:rPr>
          <w:rFonts w:hint="eastAsia" w:ascii="仿宋_GB2312" w:hAnsi="仿宋_GB2312" w:eastAsia="仿宋_GB2312" w:cs="仿宋_GB2312"/>
        </w:rPr>
        <w:t>（3）效益。</w:t>
      </w:r>
    </w:p>
    <w:p>
      <w:pPr>
        <w:adjustRightInd/>
        <w:snapToGrid/>
        <w:spacing w:line="360" w:lineRule="auto"/>
        <w:ind w:firstLine="640"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Cs/>
          <w:color w:val="auto"/>
          <w:kern w:val="2"/>
          <w:sz w:val="32"/>
          <w:szCs w:val="32"/>
          <w:lang w:bidi="ar"/>
        </w:rPr>
        <w:t>该指标主要考核项目实施效果，包含社会效益、经济效益、生态效益、可持续影响、服务对象满意度五个方面。产出指标分值40分，自评得分40分，得分率为100%。该项目产出指标得分情况见表2-5所示。</w:t>
      </w:r>
    </w:p>
    <w:p>
      <w:pPr>
        <w:adjustRightInd/>
        <w:snapToGrid/>
        <w:spacing w:line="360" w:lineRule="auto"/>
        <w:jc w:val="center"/>
        <w:rPr>
          <w:rFonts w:ascii="黑体" w:hAnsi="黑体" w:eastAsia="黑体" w:cs="黑体"/>
          <w:sz w:val="28"/>
          <w:szCs w:val="28"/>
        </w:rPr>
      </w:pPr>
      <w:r>
        <w:rPr>
          <w:rFonts w:hint="eastAsia" w:ascii="黑体" w:hAnsi="黑体" w:eastAsia="黑体" w:cs="黑体"/>
          <w:sz w:val="28"/>
          <w:szCs w:val="28"/>
        </w:rPr>
        <w:t>表2-</w:t>
      </w:r>
      <w:r>
        <w:rPr>
          <w:rFonts w:ascii="黑体" w:hAnsi="黑体" w:eastAsia="黑体" w:cs="黑体"/>
          <w:sz w:val="28"/>
          <w:szCs w:val="28"/>
        </w:rPr>
        <w:t>5</w:t>
      </w:r>
      <w:r>
        <w:rPr>
          <w:rFonts w:hint="eastAsia" w:ascii="黑体" w:hAnsi="黑体" w:eastAsia="黑体" w:cs="黑体"/>
          <w:sz w:val="28"/>
          <w:szCs w:val="28"/>
        </w:rPr>
        <w:t xml:space="preserve"> 项目效益指标得分情况表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333"/>
        <w:gridCol w:w="2053"/>
        <w:gridCol w:w="905"/>
        <w:gridCol w:w="1077"/>
        <w:gridCol w:w="750"/>
        <w:gridCol w:w="7"/>
        <w:gridCol w:w="774"/>
        <w:gridCol w:w="7"/>
        <w:gridCol w:w="90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14" w:type="pct"/>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一级指标</w:t>
            </w:r>
          </w:p>
        </w:tc>
        <w:tc>
          <w:tcPr>
            <w:tcW w:w="782" w:type="pct"/>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二级指标</w:t>
            </w:r>
          </w:p>
        </w:tc>
        <w:tc>
          <w:tcPr>
            <w:tcW w:w="1204" w:type="pct"/>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三级指标</w:t>
            </w:r>
          </w:p>
        </w:tc>
        <w:tc>
          <w:tcPr>
            <w:tcW w:w="531" w:type="pct"/>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预期值</w:t>
            </w:r>
          </w:p>
        </w:tc>
        <w:tc>
          <w:tcPr>
            <w:tcW w:w="629" w:type="pct"/>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实现值</w:t>
            </w:r>
          </w:p>
        </w:tc>
        <w:tc>
          <w:tcPr>
            <w:tcW w:w="444" w:type="pct"/>
            <w:gridSpan w:val="2"/>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指标分值</w:t>
            </w:r>
          </w:p>
        </w:tc>
        <w:tc>
          <w:tcPr>
            <w:tcW w:w="458" w:type="pct"/>
            <w:gridSpan w:val="2"/>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自评</w:t>
            </w:r>
          </w:p>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c>
          <w:tcPr>
            <w:tcW w:w="532" w:type="pct"/>
            <w:gridSpan w:val="2"/>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4" w:type="pct"/>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效益</w:t>
            </w:r>
          </w:p>
        </w:tc>
        <w:tc>
          <w:tcPr>
            <w:tcW w:w="78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1204"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公益林区域内有无采脂、采石等违规现象</w:t>
            </w:r>
          </w:p>
        </w:tc>
        <w:tc>
          <w:tcPr>
            <w:tcW w:w="531"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6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c>
          <w:tcPr>
            <w:tcW w:w="444"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2"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4" w:type="pct"/>
            <w:vMerge w:val="continue"/>
            <w:vAlign w:val="center"/>
          </w:tcPr>
          <w:p>
            <w:pPr>
              <w:jc w:val="center"/>
              <w:rPr>
                <w:rFonts w:ascii="仿宋_GB2312" w:hAnsi="仿宋_GB2312" w:eastAsia="仿宋_GB2312" w:cs="仿宋_GB2312"/>
                <w:sz w:val="24"/>
                <w:szCs w:val="24"/>
              </w:rPr>
            </w:pPr>
          </w:p>
        </w:tc>
        <w:tc>
          <w:tcPr>
            <w:tcW w:w="78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1204"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对当地经济发展是否促进作用</w:t>
            </w:r>
          </w:p>
        </w:tc>
        <w:tc>
          <w:tcPr>
            <w:tcW w:w="531"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6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444"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2"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4" w:type="pct"/>
            <w:vMerge w:val="continue"/>
            <w:vAlign w:val="center"/>
          </w:tcPr>
          <w:p>
            <w:pPr>
              <w:jc w:val="center"/>
              <w:rPr>
                <w:rFonts w:ascii="仿宋_GB2312" w:hAnsi="仿宋_GB2312" w:eastAsia="仿宋_GB2312" w:cs="仿宋_GB2312"/>
                <w:sz w:val="24"/>
                <w:szCs w:val="24"/>
              </w:rPr>
            </w:pPr>
          </w:p>
        </w:tc>
        <w:tc>
          <w:tcPr>
            <w:tcW w:w="782" w:type="pct"/>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1204"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区域森林火灾受害率</w:t>
            </w:r>
          </w:p>
        </w:tc>
        <w:tc>
          <w:tcPr>
            <w:tcW w:w="531"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pacing w:val="-23"/>
                <w:sz w:val="24"/>
                <w:szCs w:val="24"/>
              </w:rPr>
              <w:t>≤0.5‰</w:t>
            </w:r>
          </w:p>
        </w:tc>
        <w:tc>
          <w:tcPr>
            <w:tcW w:w="6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0.025‰</w:t>
            </w:r>
          </w:p>
        </w:tc>
        <w:tc>
          <w:tcPr>
            <w:tcW w:w="444"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2"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4" w:type="pct"/>
            <w:vMerge w:val="continue"/>
            <w:vAlign w:val="center"/>
          </w:tcPr>
          <w:p>
            <w:pPr>
              <w:jc w:val="center"/>
              <w:rPr>
                <w:rFonts w:ascii="仿宋_GB2312" w:hAnsi="仿宋_GB2312" w:eastAsia="仿宋_GB2312" w:cs="仿宋_GB2312"/>
                <w:sz w:val="24"/>
                <w:szCs w:val="24"/>
              </w:rPr>
            </w:pPr>
          </w:p>
        </w:tc>
        <w:tc>
          <w:tcPr>
            <w:tcW w:w="782" w:type="pct"/>
            <w:vMerge w:val="continue"/>
            <w:vAlign w:val="center"/>
          </w:tcPr>
          <w:p>
            <w:pPr>
              <w:jc w:val="center"/>
              <w:rPr>
                <w:rFonts w:ascii="仿宋_GB2312" w:hAnsi="仿宋_GB2312" w:eastAsia="仿宋_GB2312" w:cs="仿宋_GB2312"/>
                <w:sz w:val="24"/>
                <w:szCs w:val="24"/>
              </w:rPr>
            </w:pPr>
          </w:p>
        </w:tc>
        <w:tc>
          <w:tcPr>
            <w:tcW w:w="1204"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区域林业有害生物成灾率</w:t>
            </w:r>
          </w:p>
        </w:tc>
        <w:tc>
          <w:tcPr>
            <w:tcW w:w="531"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pacing w:val="-23"/>
                <w:sz w:val="24"/>
                <w:szCs w:val="24"/>
              </w:rPr>
              <w:t>26.32‰</w:t>
            </w:r>
          </w:p>
        </w:tc>
        <w:tc>
          <w:tcPr>
            <w:tcW w:w="6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napToGrid/>
                <w:kern w:val="21"/>
                <w:sz w:val="24"/>
                <w:szCs w:val="24"/>
              </w:rPr>
              <w:t>25.65‰</w:t>
            </w:r>
          </w:p>
        </w:tc>
        <w:tc>
          <w:tcPr>
            <w:tcW w:w="444"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2"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4" w:type="pct"/>
            <w:vMerge w:val="continue"/>
            <w:vAlign w:val="center"/>
          </w:tcPr>
          <w:p>
            <w:pPr>
              <w:jc w:val="center"/>
              <w:rPr>
                <w:rFonts w:ascii="仿宋_GB2312" w:hAnsi="仿宋_GB2312" w:eastAsia="仿宋_GB2312" w:cs="仿宋_GB2312"/>
                <w:sz w:val="24"/>
                <w:szCs w:val="24"/>
              </w:rPr>
            </w:pPr>
          </w:p>
        </w:tc>
        <w:tc>
          <w:tcPr>
            <w:tcW w:w="782" w:type="pct"/>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1204"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政策或制度可持续</w:t>
            </w:r>
          </w:p>
        </w:tc>
        <w:tc>
          <w:tcPr>
            <w:tcW w:w="531"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6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444"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2"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4" w:type="pct"/>
            <w:vMerge w:val="continue"/>
            <w:vAlign w:val="center"/>
          </w:tcPr>
          <w:p>
            <w:pPr>
              <w:jc w:val="center"/>
              <w:rPr>
                <w:rFonts w:ascii="仿宋_GB2312" w:hAnsi="仿宋_GB2312" w:eastAsia="仿宋_GB2312" w:cs="仿宋_GB2312"/>
                <w:sz w:val="24"/>
                <w:szCs w:val="24"/>
              </w:rPr>
            </w:pPr>
          </w:p>
        </w:tc>
        <w:tc>
          <w:tcPr>
            <w:tcW w:w="782" w:type="pct"/>
            <w:vMerge w:val="continue"/>
            <w:vAlign w:val="center"/>
          </w:tcPr>
          <w:p>
            <w:pPr>
              <w:jc w:val="center"/>
              <w:rPr>
                <w:rFonts w:ascii="仿宋_GB2312" w:hAnsi="仿宋_GB2312" w:eastAsia="仿宋_GB2312" w:cs="仿宋_GB2312"/>
                <w:sz w:val="24"/>
                <w:szCs w:val="24"/>
              </w:rPr>
            </w:pPr>
          </w:p>
        </w:tc>
        <w:tc>
          <w:tcPr>
            <w:tcW w:w="1204"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机制可持续（如管护、经费投入等）</w:t>
            </w:r>
          </w:p>
        </w:tc>
        <w:tc>
          <w:tcPr>
            <w:tcW w:w="531"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6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444"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2"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4" w:type="pct"/>
            <w:vMerge w:val="continue"/>
            <w:vAlign w:val="center"/>
          </w:tcPr>
          <w:p>
            <w:pPr>
              <w:jc w:val="center"/>
              <w:rPr>
                <w:rFonts w:ascii="仿宋_GB2312" w:hAnsi="仿宋_GB2312" w:eastAsia="仿宋_GB2312" w:cs="仿宋_GB2312"/>
                <w:sz w:val="24"/>
                <w:szCs w:val="24"/>
              </w:rPr>
            </w:pPr>
          </w:p>
        </w:tc>
        <w:tc>
          <w:tcPr>
            <w:tcW w:w="782" w:type="pct"/>
            <w:vMerge w:val="continue"/>
            <w:vAlign w:val="center"/>
          </w:tcPr>
          <w:p>
            <w:pPr>
              <w:jc w:val="center"/>
              <w:rPr>
                <w:rFonts w:ascii="仿宋_GB2312" w:hAnsi="仿宋_GB2312" w:eastAsia="仿宋_GB2312" w:cs="仿宋_GB2312"/>
                <w:sz w:val="24"/>
                <w:szCs w:val="24"/>
              </w:rPr>
            </w:pPr>
          </w:p>
        </w:tc>
        <w:tc>
          <w:tcPr>
            <w:tcW w:w="1204" w:type="pct"/>
            <w:vAlign w:val="center"/>
          </w:tcPr>
          <w:p>
            <w:pP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公益林示范区示范效应（是否明显）</w:t>
            </w:r>
          </w:p>
        </w:tc>
        <w:tc>
          <w:tcPr>
            <w:tcW w:w="531"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6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c>
          <w:tcPr>
            <w:tcW w:w="444"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2"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14" w:type="pct"/>
            <w:vMerge w:val="continue"/>
            <w:vAlign w:val="center"/>
          </w:tcPr>
          <w:p>
            <w:pPr>
              <w:jc w:val="center"/>
              <w:rPr>
                <w:rFonts w:ascii="仿宋_GB2312" w:hAnsi="仿宋_GB2312" w:eastAsia="仿宋_GB2312" w:cs="仿宋_GB2312"/>
                <w:sz w:val="24"/>
                <w:szCs w:val="24"/>
              </w:rPr>
            </w:pPr>
          </w:p>
        </w:tc>
        <w:tc>
          <w:tcPr>
            <w:tcW w:w="78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pacing w:val="-11"/>
                <w:sz w:val="24"/>
                <w:szCs w:val="24"/>
              </w:rPr>
              <w:t>服务对象满意度指标</w:t>
            </w:r>
          </w:p>
        </w:tc>
        <w:tc>
          <w:tcPr>
            <w:tcW w:w="120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群众满意度</w:t>
            </w:r>
          </w:p>
        </w:tc>
        <w:tc>
          <w:tcPr>
            <w:tcW w:w="531"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6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97.3</w:t>
            </w:r>
            <w:r>
              <w:rPr>
                <w:rFonts w:hint="eastAsia" w:ascii="仿宋_GB2312" w:hAnsi="仿宋_GB2312" w:eastAsia="仿宋_GB2312" w:cs="仿宋_GB2312"/>
                <w:sz w:val="24"/>
                <w:szCs w:val="24"/>
              </w:rPr>
              <w:t>%</w:t>
            </w:r>
          </w:p>
        </w:tc>
        <w:tc>
          <w:tcPr>
            <w:tcW w:w="444"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58"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32" w:type="pct"/>
            <w:gridSpan w:val="2"/>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47" w:hRule="atLeast"/>
          <w:jc w:val="center"/>
        </w:trPr>
        <w:tc>
          <w:tcPr>
            <w:tcW w:w="3563" w:type="pct"/>
            <w:gridSpan w:val="5"/>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合计</w:t>
            </w:r>
          </w:p>
        </w:tc>
        <w:tc>
          <w:tcPr>
            <w:tcW w:w="440" w:type="pct"/>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40</w:t>
            </w:r>
          </w:p>
        </w:tc>
        <w:tc>
          <w:tcPr>
            <w:tcW w:w="458" w:type="pct"/>
            <w:gridSpan w:val="2"/>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40</w:t>
            </w:r>
          </w:p>
        </w:tc>
        <w:tc>
          <w:tcPr>
            <w:tcW w:w="532" w:type="pct"/>
            <w:gridSpan w:val="2"/>
            <w:shd w:val="clear" w:color="auto" w:fill="D6E3BC"/>
            <w:vAlign w:val="center"/>
          </w:tcPr>
          <w:p>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100%</w:t>
            </w:r>
          </w:p>
        </w:tc>
      </w:tr>
    </w:tbl>
    <w:p>
      <w:pPr>
        <w:adjustRightInd/>
        <w:snapToGrid/>
        <w:spacing w:before="156" w:beforeLines="50" w:line="360" w:lineRule="auto"/>
        <w:ind w:firstLine="643" w:firstLineChars="200"/>
        <w:jc w:val="both"/>
        <w:rPr>
          <w:rFonts w:ascii="仿宋_GB2312" w:hAnsi="Times New Roman" w:eastAsia="仿宋_GB2312" w:cs="仿宋_GB2312"/>
          <w:bCs/>
          <w:color w:val="auto"/>
          <w:kern w:val="2"/>
          <w:sz w:val="32"/>
          <w:szCs w:val="32"/>
          <w:lang w:bidi="ar"/>
        </w:rPr>
      </w:pPr>
      <w:bookmarkStart w:id="9" w:name="_Toc107144629"/>
      <w:bookmarkStart w:id="10" w:name="_Toc107136766"/>
      <w:r>
        <w:rPr>
          <w:rFonts w:ascii="仿宋_GB2312" w:hAnsi="仿宋_GB2312" w:eastAsia="仿宋_GB2312" w:cs="仿宋_GB2312"/>
          <w:b/>
          <w:bCs/>
          <w:kern w:val="2"/>
          <w:sz w:val="32"/>
          <w:szCs w:val="32"/>
          <w:lang w:bidi="ar"/>
        </w:rPr>
        <w:t>①</w:t>
      </w:r>
      <w:r>
        <w:rPr>
          <w:rFonts w:hint="eastAsia" w:ascii="仿宋_GB2312" w:hAnsi="Times New Roman" w:eastAsia="仿宋_GB2312" w:cs="仿宋_GB2312"/>
          <w:b/>
          <w:color w:val="auto"/>
          <w:kern w:val="2"/>
          <w:sz w:val="32"/>
          <w:szCs w:val="32"/>
          <w:lang w:bidi="ar"/>
        </w:rPr>
        <w:t>社会效益指标</w:t>
      </w:r>
      <w:r>
        <w:rPr>
          <w:rFonts w:hint="eastAsia" w:ascii="仿宋_GB2312" w:hAnsi="Times New Roman" w:eastAsia="仿宋_GB2312" w:cs="仿宋_GB2312"/>
          <w:bCs/>
          <w:color w:val="auto"/>
          <w:kern w:val="2"/>
          <w:sz w:val="32"/>
          <w:szCs w:val="32"/>
          <w:lang w:bidi="ar"/>
        </w:rPr>
        <w:t>。</w:t>
      </w:r>
      <w:bookmarkEnd w:id="9"/>
      <w:bookmarkEnd w:id="10"/>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“公益林区域内有无采脂、采石等违规现象”。</w:t>
      </w:r>
      <w:r>
        <w:rPr>
          <w:rFonts w:hint="eastAsia" w:ascii="仿宋_GB2312" w:hAnsi="仿宋_GB2312" w:eastAsia="仿宋_GB2312" w:cs="仿宋_GB2312"/>
          <w:bCs/>
          <w:color w:val="auto"/>
          <w:kern w:val="2"/>
          <w:sz w:val="32"/>
          <w:szCs w:val="32"/>
          <w:lang w:bidi="ar"/>
        </w:rPr>
        <w:t>根据各单位提供的项目总结，未发现公益林区域内有采脂、采石等违规现象。该指标分值5分，自评得分5分，得分率为100%。</w:t>
      </w:r>
    </w:p>
    <w:p>
      <w:pPr>
        <w:widowControl w:val="0"/>
        <w:adjustRightInd/>
        <w:snapToGrid/>
        <w:spacing w:line="360" w:lineRule="auto"/>
        <w:ind w:firstLine="643" w:firstLineChars="200"/>
        <w:jc w:val="both"/>
        <w:rPr>
          <w:rFonts w:ascii="仿宋_GB2312" w:hAnsi="仿宋_GB2312" w:eastAsia="仿宋_GB2312" w:cs="仿宋_GB2312"/>
          <w:b/>
          <w:bCs/>
          <w:color w:val="auto"/>
          <w:kern w:val="2"/>
          <w:sz w:val="32"/>
          <w:szCs w:val="32"/>
          <w:lang w:bidi="ar"/>
        </w:rPr>
      </w:pPr>
      <w:r>
        <w:rPr>
          <w:rFonts w:ascii="仿宋_GB2312" w:hAnsi="仿宋_GB2312" w:eastAsia="仿宋_GB2312" w:cs="仿宋_GB2312"/>
          <w:b/>
          <w:bCs/>
          <w:kern w:val="2"/>
          <w:sz w:val="32"/>
          <w:szCs w:val="32"/>
          <w:lang w:bidi="ar"/>
        </w:rPr>
        <w:t>②</w:t>
      </w:r>
      <w:r>
        <w:rPr>
          <w:rFonts w:hint="eastAsia" w:ascii="仿宋_GB2312" w:hAnsi="仿宋_GB2312" w:eastAsia="仿宋_GB2312" w:cs="仿宋_GB2312"/>
          <w:b/>
          <w:bCs/>
          <w:color w:val="auto"/>
          <w:kern w:val="2"/>
          <w:sz w:val="32"/>
          <w:szCs w:val="32"/>
          <w:lang w:bidi="ar"/>
        </w:rPr>
        <w:t>经济效益指标。</w:t>
      </w:r>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“对当地经济发展是否促进作用”。</w:t>
      </w:r>
      <w:r>
        <w:rPr>
          <w:rFonts w:hint="eastAsia" w:ascii="仿宋_GB2312" w:hAnsi="仿宋_GB2312" w:eastAsia="仿宋_GB2312" w:cs="仿宋_GB2312"/>
          <w:snapToGrid/>
          <w:color w:val="auto"/>
          <w:kern w:val="2"/>
          <w:sz w:val="32"/>
          <w:szCs w:val="24"/>
        </w:rPr>
        <w:t>“省级以上生态公益林效益补偿资金”</w:t>
      </w:r>
      <w:r>
        <w:rPr>
          <w:rFonts w:hint="eastAsia" w:ascii="仿宋_GB2312" w:hAnsi="仿宋_GB2312" w:eastAsia="仿宋_GB2312" w:cs="仿宋_GB2312"/>
          <w:bCs/>
          <w:color w:val="auto"/>
          <w:kern w:val="2"/>
          <w:sz w:val="32"/>
          <w:szCs w:val="32"/>
          <w:lang w:bidi="ar"/>
        </w:rPr>
        <w:t>项目对当地经济发展起到促进作用，补偿资金的发放，提高了林农的收入水平；管护经费的使用，创造了一定量的就业岗位。该指标分值5分，自评得分5分，得分率为100%。</w:t>
      </w:r>
    </w:p>
    <w:p>
      <w:pPr>
        <w:widowControl w:val="0"/>
        <w:adjustRightInd/>
        <w:snapToGrid/>
        <w:spacing w:line="360" w:lineRule="auto"/>
        <w:ind w:firstLine="643" w:firstLineChars="200"/>
        <w:jc w:val="both"/>
        <w:rPr>
          <w:rFonts w:ascii="仿宋_GB2312" w:hAnsi="仿宋_GB2312" w:eastAsia="仿宋_GB2312" w:cs="仿宋_GB2312"/>
          <w:b/>
          <w:bCs/>
          <w:color w:val="auto"/>
          <w:kern w:val="2"/>
          <w:sz w:val="32"/>
          <w:szCs w:val="32"/>
          <w:lang w:bidi="ar"/>
        </w:rPr>
      </w:pPr>
      <w:bookmarkStart w:id="11" w:name="_Toc107136767"/>
      <w:bookmarkStart w:id="12" w:name="_Toc107144630"/>
      <w:r>
        <w:rPr>
          <w:rFonts w:ascii="仿宋_GB2312" w:hAnsi="仿宋_GB2312" w:eastAsia="仿宋_GB2312" w:cs="仿宋_GB2312"/>
          <w:b/>
          <w:bCs/>
          <w:kern w:val="2"/>
          <w:sz w:val="32"/>
          <w:szCs w:val="32"/>
          <w:lang w:bidi="ar"/>
        </w:rPr>
        <w:t>③</w:t>
      </w:r>
      <w:r>
        <w:rPr>
          <w:rFonts w:hint="eastAsia" w:ascii="仿宋_GB2312" w:hAnsi="仿宋_GB2312" w:eastAsia="仿宋_GB2312" w:cs="仿宋_GB2312"/>
          <w:b/>
          <w:bCs/>
          <w:color w:val="auto"/>
          <w:kern w:val="2"/>
          <w:sz w:val="32"/>
          <w:szCs w:val="32"/>
          <w:lang w:bidi="ar"/>
        </w:rPr>
        <w:t>生态效益指标。</w:t>
      </w:r>
      <w:bookmarkEnd w:id="11"/>
      <w:bookmarkEnd w:id="12"/>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“区域森林火灾受害率”。</w:t>
      </w:r>
      <w:r>
        <w:rPr>
          <w:rFonts w:hint="eastAsia" w:ascii="仿宋_GB2312" w:hAnsi="仿宋_GB2312" w:eastAsia="仿宋_GB2312" w:cs="仿宋_GB2312"/>
          <w:bCs/>
          <w:color w:val="auto"/>
          <w:kern w:val="2"/>
          <w:sz w:val="32"/>
          <w:szCs w:val="32"/>
          <w:lang w:bidi="ar"/>
        </w:rPr>
        <w:t>根据广东省2021-2022年森林火灾受害率统计显示，火灾受害率为0.025‰，该指标分值5分，自评得分5分，得分率为100%。</w:t>
      </w:r>
    </w:p>
    <w:p>
      <w:pPr>
        <w:widowControl w:val="0"/>
        <w:adjustRightInd/>
        <w:snapToGrid/>
        <w:spacing w:line="360" w:lineRule="auto"/>
        <w:ind w:firstLine="640"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Cs/>
          <w:color w:val="auto"/>
          <w:kern w:val="2"/>
          <w:sz w:val="32"/>
          <w:szCs w:val="32"/>
          <w:lang w:bidi="ar"/>
        </w:rPr>
        <w:t>“区域林业有害生物成灾率”。该指标申报预算时目标值为≤0.4%</w:t>
      </w:r>
      <w:r>
        <w:rPr>
          <w:rFonts w:hint="eastAsia" w:ascii="仿宋_GB2312" w:hAnsi="仿宋_GB2312" w:eastAsia="仿宋_GB2312" w:cs="仿宋_GB2312"/>
          <w:bCs/>
          <w:color w:val="auto"/>
          <w:kern w:val="2"/>
          <w:sz w:val="32"/>
          <w:szCs w:val="32"/>
          <w:lang w:eastAsia="zh-CN" w:bidi="ar"/>
        </w:rPr>
        <w:t>。</w:t>
      </w:r>
      <w:r>
        <w:rPr>
          <w:rFonts w:hint="eastAsia" w:ascii="仿宋_GB2312" w:hAnsi="仿宋_GB2312" w:eastAsia="仿宋_GB2312" w:cs="仿宋_GB2312"/>
          <w:snapToGrid/>
          <w:kern w:val="21"/>
          <w:sz w:val="32"/>
          <w:szCs w:val="32"/>
        </w:rPr>
        <w:t>“十四五”以前，成灾率(‰)=全年实际成灾面积（各种病虫草）/(现有林面积+未成林面积)×1000‰)。2021年9月13日，国家林草局将“松材线虫病发生面积在有效防治后不算成灾”的成灾面积统计标准修改为“松材线虫病发生面积即成灾面积”，由于松材线虫病发生面积的统计标准发生了变化，导致我省林业有害生物成灾率指标大幅提升。“十四五”以来，成灾率(‰)=全年实际成灾面积（各种有害生物）/林地面积×1000‰)。</w:t>
      </w:r>
      <w:r>
        <w:rPr>
          <w:rFonts w:hint="eastAsia" w:ascii="仿宋_GB2312" w:hAnsi="仿宋_GB2312" w:eastAsia="仿宋_GB2312" w:cs="仿宋_GB2312"/>
          <w:kern w:val="21"/>
          <w:sz w:val="32"/>
          <w:szCs w:val="32"/>
        </w:rPr>
        <w:t>而我省“十四五”规划</w:t>
      </w:r>
      <w:r>
        <w:rPr>
          <w:rFonts w:hint="eastAsia" w:ascii="仿宋_GB2312" w:hAnsi="仿宋_GB2312" w:eastAsia="仿宋_GB2312" w:cs="仿宋_GB2312"/>
          <w:snapToGrid/>
          <w:kern w:val="21"/>
          <w:sz w:val="32"/>
          <w:szCs w:val="32"/>
        </w:rPr>
        <w:t>已于2021年9月3日印发，这导致我省的成灾率指标有变化。2022年4月7日，国家林业和草原局测算并下达了各省的“十四五”林业有害生物成灾率指标（办生字〔2022〕24号），明确我省到2025年末成灾率控制指标为26.32‰。</w:t>
      </w:r>
    </w:p>
    <w:p>
      <w:pPr>
        <w:widowControl w:val="0"/>
        <w:adjustRightInd/>
        <w:snapToGrid/>
        <w:spacing w:line="360" w:lineRule="auto"/>
        <w:ind w:firstLine="640"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snapToGrid/>
          <w:kern w:val="21"/>
          <w:sz w:val="32"/>
          <w:szCs w:val="32"/>
        </w:rPr>
        <w:t>2022年全省松材线虫病发生面积415.3万亩，按“十四五”松材线虫病发生面积即成灾面积的标准和三调林地面积16188万亩计算，成灾率为（415.3/16188）*1000%=25.65‰，</w:t>
      </w:r>
      <w:r>
        <w:rPr>
          <w:rFonts w:hint="eastAsia" w:ascii="仿宋_GB2312" w:hAnsi="仿宋_GB2312" w:eastAsia="仿宋_GB2312" w:cs="仿宋_GB2312"/>
          <w:bCs/>
          <w:color w:val="auto"/>
          <w:kern w:val="2"/>
          <w:sz w:val="32"/>
          <w:szCs w:val="32"/>
          <w:lang w:bidi="ar"/>
        </w:rPr>
        <w:t>指标任务完成。该指标分值5分，自评得分5分，得分率为100%。</w:t>
      </w:r>
    </w:p>
    <w:p>
      <w:pPr>
        <w:widowControl w:val="0"/>
        <w:adjustRightInd/>
        <w:snapToGrid/>
        <w:spacing w:line="360" w:lineRule="auto"/>
        <w:ind w:firstLine="643" w:firstLineChars="200"/>
        <w:jc w:val="both"/>
        <w:rPr>
          <w:rFonts w:ascii="仿宋_GB2312" w:hAnsi="仿宋_GB2312" w:eastAsia="仿宋_GB2312" w:cs="仿宋_GB2312"/>
          <w:b/>
          <w:bCs/>
          <w:color w:val="auto"/>
          <w:kern w:val="2"/>
          <w:sz w:val="32"/>
          <w:szCs w:val="32"/>
          <w:lang w:bidi="ar"/>
        </w:rPr>
      </w:pPr>
      <w:bookmarkStart w:id="13" w:name="_Toc107136768"/>
      <w:bookmarkStart w:id="14" w:name="_Toc107144631"/>
      <w:r>
        <w:rPr>
          <w:rFonts w:hint="eastAsia" w:ascii="仿宋_GB2312" w:hAnsi="仿宋_GB2312" w:eastAsia="仿宋_GB2312" w:cs="仿宋_GB2312"/>
          <w:b/>
          <w:bCs/>
          <w:kern w:val="2"/>
          <w:sz w:val="32"/>
          <w:szCs w:val="32"/>
          <w:lang w:bidi="ar"/>
        </w:rPr>
        <w:t>④</w:t>
      </w:r>
      <w:r>
        <w:rPr>
          <w:rFonts w:hint="eastAsia" w:ascii="仿宋_GB2312" w:hAnsi="仿宋_GB2312" w:eastAsia="仿宋_GB2312" w:cs="仿宋_GB2312"/>
          <w:b/>
          <w:bCs/>
          <w:color w:val="auto"/>
          <w:kern w:val="2"/>
          <w:sz w:val="32"/>
          <w:szCs w:val="32"/>
          <w:lang w:bidi="ar"/>
        </w:rPr>
        <w:t>可持续影响指标。</w:t>
      </w:r>
      <w:bookmarkEnd w:id="13"/>
      <w:bookmarkEnd w:id="14"/>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“政策或制度可持续”。</w:t>
      </w:r>
      <w:r>
        <w:rPr>
          <w:rFonts w:hint="eastAsia" w:ascii="仿宋_GB2312" w:hAnsi="仿宋_GB2312" w:eastAsia="仿宋_GB2312" w:cs="仿宋_GB2312"/>
          <w:bCs/>
          <w:color w:val="auto"/>
          <w:kern w:val="2"/>
          <w:sz w:val="32"/>
          <w:szCs w:val="32"/>
          <w:lang w:bidi="ar"/>
        </w:rPr>
        <w:t>根据党的二十大报告提出“建立生态产品价值实现机制，完善生态保护补偿机制”发展战略以及广东省财政厅、林业局印发的《广东省省级生态公益林效益补偿资金管理办法》（粤财农〔2018〕322号），项目和制度具备可持续性。该指标分值5分，自评得分5分，得分率为100%。</w:t>
      </w:r>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“机制可持续（如管护、经费投入等）”</w:t>
      </w:r>
      <w:r>
        <w:rPr>
          <w:rFonts w:hint="eastAsia" w:ascii="仿宋_GB2312" w:hAnsi="仿宋_GB2312" w:eastAsia="仿宋_GB2312" w:cs="仿宋_GB2312"/>
          <w:bCs/>
          <w:color w:val="auto"/>
          <w:kern w:val="2"/>
          <w:sz w:val="32"/>
          <w:szCs w:val="32"/>
          <w:lang w:bidi="ar"/>
        </w:rPr>
        <w:t>。根据党的二十大报告提出“建立生态产品价值实现机制，完善生态保护补偿机制”发展战略以及广东省财政厅、林业局印发的《广东省省级生态公益林效益补偿资金管理办法》（粤财农〔2018〕322 号），管护投入及机制具备可持续性。该指标分值5分，自评得分5分，得分率为100%。</w:t>
      </w:r>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“公益林示范区示范效应（是否明显）”</w:t>
      </w:r>
      <w:r>
        <w:rPr>
          <w:rFonts w:hint="eastAsia" w:ascii="仿宋_GB2312" w:hAnsi="仿宋_GB2312" w:eastAsia="仿宋_GB2312" w:cs="仿宋_GB2312"/>
          <w:bCs/>
          <w:color w:val="auto"/>
          <w:kern w:val="2"/>
          <w:sz w:val="32"/>
          <w:szCs w:val="32"/>
          <w:lang w:bidi="ar"/>
        </w:rPr>
        <w:t>。根据16个公益林示范区项目的相关材料，项目具备示范效应。该指标分值5分，自评得分5分，得分率为100%。</w:t>
      </w:r>
    </w:p>
    <w:p>
      <w:pPr>
        <w:widowControl w:val="0"/>
        <w:adjustRightInd/>
        <w:snapToGrid/>
        <w:spacing w:line="360" w:lineRule="auto"/>
        <w:ind w:firstLine="643" w:firstLineChars="200"/>
        <w:jc w:val="both"/>
        <w:rPr>
          <w:rFonts w:ascii="仿宋_GB2312" w:hAnsi="仿宋_GB2312" w:eastAsia="仿宋_GB2312" w:cs="仿宋_GB2312"/>
          <w:b/>
          <w:color w:val="auto"/>
          <w:kern w:val="2"/>
          <w:sz w:val="32"/>
          <w:szCs w:val="32"/>
          <w:lang w:bidi="ar"/>
        </w:rPr>
      </w:pPr>
      <w:bookmarkStart w:id="15" w:name="_Toc107144632"/>
      <w:bookmarkStart w:id="16" w:name="_Toc107136769"/>
      <w:r>
        <w:rPr>
          <w:rFonts w:hint="eastAsia" w:ascii="仿宋_GB2312" w:hAnsi="仿宋_GB2312" w:eastAsia="仿宋_GB2312" w:cs="仿宋_GB2312"/>
          <w:b/>
          <w:color w:val="auto"/>
          <w:kern w:val="2"/>
          <w:sz w:val="32"/>
          <w:szCs w:val="32"/>
          <w:lang w:bidi="ar"/>
        </w:rPr>
        <w:t>⑤服务对象满意度指标。</w:t>
      </w:r>
      <w:bookmarkEnd w:id="15"/>
      <w:bookmarkEnd w:id="16"/>
    </w:p>
    <w:p>
      <w:pPr>
        <w:widowControl w:val="0"/>
        <w:adjustRightInd/>
        <w:snapToGrid/>
        <w:spacing w:line="360" w:lineRule="auto"/>
        <w:ind w:firstLine="643" w:firstLineChars="200"/>
        <w:jc w:val="both"/>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color w:val="auto"/>
          <w:kern w:val="2"/>
          <w:sz w:val="32"/>
          <w:szCs w:val="32"/>
          <w:lang w:bidi="ar"/>
        </w:rPr>
        <w:t>“受益人员满意度”。</w:t>
      </w:r>
      <w:r>
        <w:rPr>
          <w:rFonts w:hint="eastAsia" w:ascii="仿宋_GB2312" w:hAnsi="仿宋_GB2312" w:eastAsia="仿宋_GB2312" w:cs="仿宋_GB2312"/>
          <w:bCs/>
          <w:color w:val="auto"/>
          <w:kern w:val="2"/>
          <w:sz w:val="32"/>
          <w:szCs w:val="32"/>
          <w:lang w:bidi="ar"/>
        </w:rPr>
        <w:t>指标通过各地市及省直单位提交的自评调查结果汇总，共发放调查问卷约16135份，满意度平均值97.</w:t>
      </w:r>
      <w:r>
        <w:rPr>
          <w:rFonts w:ascii="仿宋_GB2312" w:hAnsi="仿宋_GB2312" w:eastAsia="仿宋_GB2312" w:cs="仿宋_GB2312"/>
          <w:bCs/>
          <w:color w:val="auto"/>
          <w:kern w:val="2"/>
          <w:sz w:val="32"/>
          <w:szCs w:val="32"/>
          <w:lang w:bidi="ar"/>
        </w:rPr>
        <w:t>3</w:t>
      </w:r>
      <w:r>
        <w:rPr>
          <w:rFonts w:hint="eastAsia" w:ascii="仿宋_GB2312" w:hAnsi="仿宋_GB2312" w:eastAsia="仿宋_GB2312" w:cs="仿宋_GB2312"/>
          <w:bCs/>
          <w:color w:val="auto"/>
          <w:kern w:val="2"/>
          <w:sz w:val="32"/>
          <w:szCs w:val="32"/>
          <w:lang w:bidi="ar"/>
        </w:rPr>
        <w:t>%。该指标分值5分，自评得5分，得分率为100%。</w:t>
      </w:r>
    </w:p>
    <w:p>
      <w:pPr>
        <w:pStyle w:val="4"/>
        <w:adjustRightInd/>
        <w:snapToGrid/>
        <w:spacing w:line="360" w:lineRule="auto"/>
        <w:ind w:firstLine="640"/>
        <w:rPr>
          <w:rFonts w:ascii="楷体_GB2312" w:hAnsi="楷体_GB2312" w:eastAsia="楷体_GB2312" w:cs="楷体_GB2312"/>
          <w:b/>
          <w:bCs w:val="0"/>
        </w:rPr>
      </w:pPr>
      <w:bookmarkStart w:id="17" w:name="_Toc23687"/>
      <w:r>
        <w:rPr>
          <w:rFonts w:hint="eastAsia" w:ascii="楷体_GB2312" w:hAnsi="楷体_GB2312" w:eastAsia="楷体_GB2312" w:cs="楷体_GB2312"/>
          <w:b/>
          <w:bCs w:val="0"/>
        </w:rPr>
        <w:t>（二）专项资金使用绩效</w:t>
      </w:r>
      <w:bookmarkEnd w:id="17"/>
    </w:p>
    <w:p>
      <w:pPr>
        <w:pStyle w:val="5"/>
        <w:adjustRightInd/>
        <w:snapToGrid/>
        <w:spacing w:line="360" w:lineRule="auto"/>
        <w:ind w:firstLine="640"/>
        <w:rPr>
          <w:rFonts w:ascii="仿宋_GB2312" w:hAnsi="仿宋_GB2312" w:eastAsia="仿宋_GB2312" w:cs="仿宋_GB2312"/>
          <w:bCs w:val="0"/>
        </w:rPr>
      </w:pPr>
      <w:bookmarkStart w:id="18" w:name="_Toc22314"/>
      <w:r>
        <w:rPr>
          <w:rFonts w:hint="eastAsia" w:ascii="仿宋_GB2312" w:hAnsi="仿宋_GB2312" w:eastAsia="仿宋_GB2312" w:cs="仿宋_GB2312"/>
          <w:bCs w:val="0"/>
          <w:color w:val="auto"/>
        </w:rPr>
        <w:t>1.专项资金支出情况。</w:t>
      </w:r>
      <w:bookmarkEnd w:id="18"/>
    </w:p>
    <w:p>
      <w:pPr>
        <w:adjustRightInd/>
        <w:snapToGrid/>
        <w:spacing w:line="360" w:lineRule="auto"/>
        <w:ind w:firstLine="640" w:firstLineChars="200"/>
        <w:jc w:val="both"/>
        <w:rPr>
          <w:rFonts w:ascii="仿宋" w:eastAsia="仿宋" w:cs="Times New Roman"/>
          <w:sz w:val="32"/>
          <w:szCs w:val="32"/>
        </w:rPr>
      </w:pPr>
      <w:r>
        <w:rPr>
          <w:rFonts w:hint="eastAsia" w:ascii="仿宋_GB2312" w:hAnsi="Times New Roman" w:eastAsia="仿宋_GB2312" w:cs="仿宋_GB2312"/>
          <w:bCs/>
          <w:color w:val="auto"/>
          <w:kern w:val="2"/>
          <w:sz w:val="32"/>
          <w:szCs w:val="32"/>
          <w:lang w:bidi="ar"/>
        </w:rPr>
        <w:t>根据广东省财政厅发布《广东省财政厅关于提前下达</w:t>
      </w:r>
      <w:r>
        <w:rPr>
          <w:rFonts w:ascii="仿宋_GB2312" w:hAnsi="Times New Roman" w:eastAsia="仿宋_GB2312" w:cs="仿宋_GB2312"/>
          <w:bCs/>
          <w:color w:val="auto"/>
          <w:kern w:val="2"/>
          <w:sz w:val="32"/>
          <w:szCs w:val="32"/>
          <w:lang w:bidi="ar"/>
        </w:rPr>
        <w:t>2022</w:t>
      </w:r>
      <w:r>
        <w:rPr>
          <w:rFonts w:hint="eastAsia" w:ascii="仿宋_GB2312" w:hAnsi="Times New Roman" w:eastAsia="仿宋_GB2312" w:cs="仿宋_GB2312"/>
          <w:bCs/>
          <w:color w:val="auto"/>
          <w:kern w:val="2"/>
          <w:sz w:val="32"/>
          <w:szCs w:val="32"/>
          <w:lang w:bidi="ar"/>
        </w:rPr>
        <w:t>年省级以上生态公益林效益补偿资金的通知》（粤财资环〔</w:t>
      </w:r>
      <w:r>
        <w:rPr>
          <w:rFonts w:ascii="仿宋_GB2312" w:hAnsi="Times New Roman" w:eastAsia="仿宋_GB2312" w:cs="仿宋_GB2312"/>
          <w:bCs/>
          <w:color w:val="auto"/>
          <w:kern w:val="2"/>
          <w:sz w:val="32"/>
          <w:szCs w:val="32"/>
          <w:lang w:bidi="ar"/>
        </w:rPr>
        <w:t>2021</w:t>
      </w:r>
      <w:r>
        <w:rPr>
          <w:rFonts w:hint="eastAsia" w:ascii="仿宋_GB2312" w:hAnsi="Times New Roman" w:eastAsia="仿宋_GB2312" w:cs="仿宋_GB2312"/>
          <w:bCs/>
          <w:color w:val="auto"/>
          <w:kern w:val="2"/>
          <w:sz w:val="32"/>
          <w:szCs w:val="32"/>
          <w:lang w:bidi="ar"/>
        </w:rPr>
        <w:t>〕</w:t>
      </w:r>
      <w:r>
        <w:rPr>
          <w:rFonts w:ascii="仿宋_GB2312" w:hAnsi="Times New Roman" w:eastAsia="仿宋_GB2312" w:cs="仿宋_GB2312"/>
          <w:bCs/>
          <w:color w:val="auto"/>
          <w:kern w:val="2"/>
          <w:sz w:val="32"/>
          <w:szCs w:val="32"/>
          <w:lang w:bidi="ar"/>
        </w:rPr>
        <w:t>136</w:t>
      </w:r>
      <w:r>
        <w:rPr>
          <w:rFonts w:hint="eastAsia" w:ascii="仿宋_GB2312" w:hAnsi="Times New Roman" w:eastAsia="仿宋_GB2312" w:cs="仿宋_GB2312"/>
          <w:bCs/>
          <w:color w:val="auto"/>
          <w:kern w:val="2"/>
          <w:sz w:val="32"/>
          <w:szCs w:val="32"/>
          <w:lang w:bidi="ar"/>
        </w:rPr>
        <w:t>号），《广东省财政厅关于安排</w:t>
      </w:r>
      <w:r>
        <w:rPr>
          <w:rFonts w:ascii="仿宋_GB2312" w:hAnsi="Times New Roman" w:eastAsia="仿宋_GB2312" w:cs="仿宋_GB2312"/>
          <w:bCs/>
          <w:color w:val="auto"/>
          <w:kern w:val="2"/>
          <w:sz w:val="32"/>
          <w:szCs w:val="32"/>
          <w:lang w:bidi="ar"/>
        </w:rPr>
        <w:t>2022</w:t>
      </w:r>
      <w:r>
        <w:rPr>
          <w:rFonts w:hint="eastAsia" w:ascii="仿宋_GB2312" w:hAnsi="Times New Roman" w:eastAsia="仿宋_GB2312" w:cs="仿宋_GB2312"/>
          <w:bCs/>
          <w:color w:val="auto"/>
          <w:kern w:val="2"/>
          <w:sz w:val="32"/>
          <w:szCs w:val="32"/>
          <w:lang w:bidi="ar"/>
        </w:rPr>
        <w:t>年度第二批省级以上生态公益林效益补偿资金的通知》（粤财资环〔</w:t>
      </w:r>
      <w:r>
        <w:rPr>
          <w:rFonts w:ascii="仿宋_GB2312" w:hAnsi="Times New Roman" w:eastAsia="仿宋_GB2312" w:cs="仿宋_GB2312"/>
          <w:bCs/>
          <w:color w:val="auto"/>
          <w:kern w:val="2"/>
          <w:sz w:val="32"/>
          <w:szCs w:val="32"/>
          <w:lang w:bidi="ar"/>
        </w:rPr>
        <w:t>2022</w:t>
      </w:r>
      <w:r>
        <w:rPr>
          <w:rFonts w:hint="eastAsia" w:ascii="仿宋_GB2312" w:hAnsi="Times New Roman" w:eastAsia="仿宋_GB2312" w:cs="仿宋_GB2312"/>
          <w:bCs/>
          <w:color w:val="auto"/>
          <w:kern w:val="2"/>
          <w:sz w:val="32"/>
          <w:szCs w:val="32"/>
          <w:lang w:bidi="ar"/>
        </w:rPr>
        <w:t>〕</w:t>
      </w:r>
      <w:r>
        <w:rPr>
          <w:rFonts w:ascii="仿宋_GB2312" w:hAnsi="Times New Roman" w:eastAsia="仿宋_GB2312" w:cs="仿宋_GB2312"/>
          <w:bCs/>
          <w:color w:val="auto"/>
          <w:kern w:val="2"/>
          <w:sz w:val="32"/>
          <w:szCs w:val="32"/>
          <w:lang w:bidi="ar"/>
        </w:rPr>
        <w:t>79</w:t>
      </w:r>
      <w:r>
        <w:rPr>
          <w:rFonts w:hint="eastAsia" w:ascii="仿宋_GB2312" w:hAnsi="Times New Roman" w:eastAsia="仿宋_GB2312" w:cs="仿宋_GB2312"/>
          <w:bCs/>
          <w:color w:val="auto"/>
          <w:kern w:val="2"/>
          <w:sz w:val="32"/>
          <w:szCs w:val="32"/>
          <w:lang w:bidi="ar"/>
        </w:rPr>
        <w:t>号），</w:t>
      </w:r>
      <w:r>
        <w:rPr>
          <w:rFonts w:ascii="仿宋_GB2312" w:hAnsi="Times New Roman" w:eastAsia="仿宋_GB2312" w:cs="仿宋_GB2312"/>
          <w:bCs/>
          <w:color w:val="auto"/>
          <w:kern w:val="2"/>
          <w:sz w:val="32"/>
          <w:szCs w:val="32"/>
          <w:lang w:bidi="ar"/>
        </w:rPr>
        <w:t>2022</w:t>
      </w:r>
      <w:r>
        <w:rPr>
          <w:rFonts w:hint="eastAsia" w:ascii="仿宋_GB2312" w:hAnsi="Times New Roman" w:eastAsia="仿宋_GB2312" w:cs="仿宋_GB2312"/>
          <w:bCs/>
          <w:color w:val="auto"/>
          <w:kern w:val="2"/>
          <w:sz w:val="32"/>
          <w:szCs w:val="32"/>
          <w:lang w:bidi="ar"/>
        </w:rPr>
        <w:t>年度</w:t>
      </w:r>
      <w:r>
        <w:rPr>
          <w:rFonts w:hint="eastAsia" w:ascii="仿宋_GB2312" w:hAnsi="仿宋_GB2312" w:eastAsia="仿宋_GB2312" w:cs="仿宋_GB2312"/>
          <w:snapToGrid/>
          <w:color w:val="auto"/>
          <w:kern w:val="2"/>
          <w:sz w:val="32"/>
          <w:szCs w:val="24"/>
        </w:rPr>
        <w:t>“省级以上生态公益林效益补偿资金”项目</w:t>
      </w:r>
      <w:r>
        <w:rPr>
          <w:rFonts w:hint="eastAsia" w:ascii="仿宋_GB2312" w:hAnsi="Times New Roman" w:eastAsia="仿宋_GB2312" w:cs="仿宋_GB2312"/>
          <w:bCs/>
          <w:color w:val="auto"/>
          <w:kern w:val="2"/>
          <w:sz w:val="32"/>
          <w:szCs w:val="32"/>
          <w:lang w:bidi="ar"/>
        </w:rPr>
        <w:t>预算批复为</w:t>
      </w:r>
      <w:r>
        <w:rPr>
          <w:rFonts w:ascii="仿宋_GB2312" w:hAnsi="Times New Roman" w:eastAsia="仿宋_GB2312" w:cs="仿宋_GB2312"/>
          <w:bCs/>
          <w:color w:val="auto"/>
          <w:kern w:val="2"/>
          <w:sz w:val="32"/>
          <w:szCs w:val="32"/>
          <w:lang w:bidi="ar"/>
        </w:rPr>
        <w:t>265511.00</w:t>
      </w:r>
      <w:r>
        <w:rPr>
          <w:rFonts w:hint="eastAsia" w:ascii="仿宋_GB2312" w:hAnsi="Times New Roman" w:eastAsia="仿宋_GB2312" w:cs="仿宋_GB2312"/>
          <w:bCs/>
          <w:color w:val="auto"/>
          <w:kern w:val="2"/>
          <w:sz w:val="32"/>
          <w:szCs w:val="32"/>
          <w:lang w:bidi="ar"/>
        </w:rPr>
        <w:t>万元，实际到位</w:t>
      </w:r>
      <w:r>
        <w:rPr>
          <w:rFonts w:ascii="仿宋_GB2312" w:hAnsi="Times New Roman" w:eastAsia="仿宋_GB2312" w:cs="仿宋_GB2312"/>
          <w:bCs/>
          <w:color w:val="auto"/>
          <w:kern w:val="2"/>
          <w:sz w:val="32"/>
          <w:szCs w:val="32"/>
          <w:lang w:bidi="ar"/>
        </w:rPr>
        <w:t>265511.00</w:t>
      </w:r>
      <w:r>
        <w:rPr>
          <w:rFonts w:hint="eastAsia" w:ascii="仿宋_GB2312" w:hAnsi="Times New Roman" w:eastAsia="仿宋_GB2312" w:cs="仿宋_GB2312"/>
          <w:bCs/>
          <w:color w:val="auto"/>
          <w:kern w:val="2"/>
          <w:sz w:val="32"/>
          <w:szCs w:val="32"/>
          <w:lang w:bidi="ar"/>
        </w:rPr>
        <w:t>万元，资金到位率</w:t>
      </w:r>
      <w:r>
        <w:rPr>
          <w:rFonts w:ascii="仿宋_GB2312" w:hAnsi="Times New Roman" w:eastAsia="仿宋_GB2312" w:cs="仿宋_GB2312"/>
          <w:bCs/>
          <w:color w:val="auto"/>
          <w:kern w:val="2"/>
          <w:sz w:val="32"/>
          <w:szCs w:val="32"/>
          <w:lang w:bidi="ar"/>
        </w:rPr>
        <w:t>100%</w:t>
      </w:r>
      <w:r>
        <w:rPr>
          <w:rFonts w:hint="eastAsia" w:ascii="仿宋_GB2312" w:hAnsi="Times New Roman" w:eastAsia="仿宋_GB2312" w:cs="仿宋_GB2312"/>
          <w:bCs/>
          <w:color w:val="auto"/>
          <w:kern w:val="2"/>
          <w:sz w:val="32"/>
          <w:szCs w:val="32"/>
          <w:lang w:bidi="ar"/>
        </w:rPr>
        <w:t>。截止</w:t>
      </w:r>
      <w:r>
        <w:rPr>
          <w:rFonts w:ascii="仿宋_GB2312" w:hAnsi="Times New Roman" w:eastAsia="仿宋_GB2312" w:cs="仿宋_GB2312"/>
          <w:bCs/>
          <w:color w:val="auto"/>
          <w:kern w:val="2"/>
          <w:sz w:val="32"/>
          <w:szCs w:val="32"/>
          <w:lang w:bidi="ar"/>
        </w:rPr>
        <w:t>2022</w:t>
      </w:r>
      <w:r>
        <w:rPr>
          <w:rFonts w:hint="eastAsia" w:ascii="仿宋_GB2312" w:hAnsi="Times New Roman" w:eastAsia="仿宋_GB2312" w:cs="仿宋_GB2312"/>
          <w:bCs/>
          <w:color w:val="auto"/>
          <w:kern w:val="2"/>
          <w:sz w:val="32"/>
          <w:szCs w:val="32"/>
          <w:lang w:bidi="ar"/>
        </w:rPr>
        <w:t>年</w:t>
      </w:r>
      <w:r>
        <w:rPr>
          <w:rFonts w:ascii="仿宋_GB2312" w:hAnsi="Times New Roman" w:eastAsia="仿宋_GB2312" w:cs="仿宋_GB2312"/>
          <w:bCs/>
          <w:color w:val="auto"/>
          <w:kern w:val="2"/>
          <w:sz w:val="32"/>
          <w:szCs w:val="32"/>
          <w:lang w:bidi="ar"/>
        </w:rPr>
        <w:t>12</w:t>
      </w:r>
      <w:r>
        <w:rPr>
          <w:rFonts w:hint="eastAsia" w:ascii="仿宋_GB2312" w:hAnsi="Times New Roman" w:eastAsia="仿宋_GB2312" w:cs="仿宋_GB2312"/>
          <w:bCs/>
          <w:color w:val="auto"/>
          <w:kern w:val="2"/>
          <w:sz w:val="32"/>
          <w:szCs w:val="32"/>
          <w:lang w:bidi="ar"/>
        </w:rPr>
        <w:t>月</w:t>
      </w:r>
      <w:r>
        <w:rPr>
          <w:rFonts w:ascii="仿宋_GB2312" w:hAnsi="Times New Roman" w:eastAsia="仿宋_GB2312" w:cs="仿宋_GB2312"/>
          <w:bCs/>
          <w:color w:val="auto"/>
          <w:kern w:val="2"/>
          <w:sz w:val="32"/>
          <w:szCs w:val="32"/>
          <w:lang w:bidi="ar"/>
        </w:rPr>
        <w:t>31</w:t>
      </w:r>
      <w:r>
        <w:rPr>
          <w:rFonts w:hint="eastAsia" w:ascii="仿宋_GB2312" w:hAnsi="Times New Roman" w:eastAsia="仿宋_GB2312" w:cs="仿宋_GB2312"/>
          <w:bCs/>
          <w:color w:val="auto"/>
          <w:kern w:val="2"/>
          <w:sz w:val="32"/>
          <w:szCs w:val="32"/>
          <w:lang w:bidi="ar"/>
        </w:rPr>
        <w:t>日，项目资金支出合计2</w:t>
      </w:r>
      <w:r>
        <w:rPr>
          <w:rFonts w:ascii="仿宋_GB2312" w:hAnsi="Times New Roman" w:eastAsia="仿宋_GB2312" w:cs="仿宋_GB2312"/>
          <w:bCs/>
          <w:color w:val="auto"/>
          <w:kern w:val="2"/>
          <w:sz w:val="32"/>
          <w:szCs w:val="32"/>
          <w:lang w:bidi="ar"/>
        </w:rPr>
        <w:t>30920.85</w:t>
      </w:r>
      <w:r>
        <w:rPr>
          <w:rFonts w:hint="eastAsia" w:ascii="仿宋_GB2312" w:hAnsi="Times New Roman" w:eastAsia="仿宋_GB2312" w:cs="仿宋_GB2312"/>
          <w:bCs/>
          <w:color w:val="auto"/>
          <w:kern w:val="2"/>
          <w:sz w:val="32"/>
          <w:szCs w:val="32"/>
          <w:lang w:bidi="ar"/>
        </w:rPr>
        <w:t>万元，执行率8</w:t>
      </w:r>
      <w:r>
        <w:rPr>
          <w:rFonts w:ascii="仿宋_GB2312" w:hAnsi="Times New Roman" w:eastAsia="仿宋_GB2312" w:cs="仿宋_GB2312"/>
          <w:bCs/>
          <w:color w:val="auto"/>
          <w:kern w:val="2"/>
          <w:sz w:val="32"/>
          <w:szCs w:val="32"/>
          <w:lang w:bidi="ar"/>
        </w:rPr>
        <w:t>6.97%</w:t>
      </w:r>
      <w:r>
        <w:rPr>
          <w:rFonts w:hint="eastAsia" w:ascii="仿宋_GB2312" w:hAnsi="Times New Roman" w:eastAsia="仿宋_GB2312" w:cs="仿宋_GB2312"/>
          <w:bCs/>
          <w:color w:val="auto"/>
          <w:kern w:val="2"/>
          <w:sz w:val="32"/>
          <w:szCs w:val="32"/>
          <w:lang w:bidi="ar"/>
        </w:rPr>
        <w:t>。根据资金归属单位的支出情况如表</w:t>
      </w:r>
      <w:r>
        <w:rPr>
          <w:rFonts w:ascii="仿宋_GB2312" w:hAnsi="Times New Roman" w:eastAsia="仿宋_GB2312" w:cs="仿宋_GB2312"/>
          <w:bCs/>
          <w:color w:val="auto"/>
          <w:kern w:val="2"/>
          <w:sz w:val="32"/>
          <w:szCs w:val="32"/>
          <w:lang w:bidi="ar"/>
        </w:rPr>
        <w:t>2-</w:t>
      </w:r>
      <w:r>
        <w:rPr>
          <w:rFonts w:hint="eastAsia" w:ascii="仿宋_GB2312" w:hAnsi="Times New Roman" w:eastAsia="仿宋_GB2312" w:cs="仿宋_GB2312"/>
          <w:bCs/>
          <w:color w:val="auto"/>
          <w:kern w:val="2"/>
          <w:sz w:val="32"/>
          <w:szCs w:val="32"/>
          <w:lang w:bidi="ar"/>
        </w:rPr>
        <w:t>6所示</w:t>
      </w:r>
      <w:r>
        <w:rPr>
          <w:rFonts w:hint="eastAsia" w:ascii="仿宋" w:eastAsia="仿宋" w:cs="Times New Roman"/>
          <w:bCs/>
          <w:sz w:val="32"/>
          <w:szCs w:val="32"/>
        </w:rPr>
        <w:t>。</w:t>
      </w:r>
    </w:p>
    <w:p>
      <w:pPr>
        <w:adjustRightInd/>
        <w:snapToGrid/>
        <w:spacing w:line="360" w:lineRule="auto"/>
        <w:jc w:val="center"/>
        <w:rPr>
          <w:rFonts w:ascii="黑体" w:hAnsi="黑体" w:eastAsia="黑体" w:cs="黑体"/>
          <w:sz w:val="28"/>
          <w:szCs w:val="28"/>
        </w:rPr>
      </w:pPr>
      <w:r>
        <w:rPr>
          <w:rFonts w:hint="eastAsia" w:ascii="黑体" w:hAnsi="黑体" w:eastAsia="黑体" w:cs="黑体"/>
          <w:sz w:val="28"/>
          <w:szCs w:val="28"/>
        </w:rPr>
        <w:t>表2-6 “省级以上生态公益林效益补偿资金”支出统计情况表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252"/>
        <w:gridCol w:w="1838"/>
        <w:gridCol w:w="170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shd w:val="clear" w:color="auto" w:fill="D6E3BC"/>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320" w:type="pct"/>
            <w:shd w:val="clear" w:color="auto" w:fill="D6E3BC"/>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项目单位</w:t>
            </w:r>
          </w:p>
        </w:tc>
        <w:tc>
          <w:tcPr>
            <w:tcW w:w="1078" w:type="pct"/>
            <w:shd w:val="clear" w:color="auto" w:fill="D6E3BC"/>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下达金额</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c>
          <w:tcPr>
            <w:tcW w:w="999" w:type="pct"/>
            <w:shd w:val="clear" w:color="auto" w:fill="D6E3BC"/>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支出金额</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c>
          <w:tcPr>
            <w:tcW w:w="1175" w:type="pct"/>
            <w:shd w:val="clear" w:color="auto" w:fill="D6E3BC"/>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pacing w:val="-11"/>
                <w:sz w:val="24"/>
                <w:szCs w:val="24"/>
              </w:rPr>
              <w:t>资金总支出率（%）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汕头市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2021.05</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1906.34</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韶关市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37833.76</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32294.06</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河源市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37920.43</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34696.26</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梅州市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39161.69</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22452.02</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惠州市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18239.54</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16824.19</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汕尾市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7117.89</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5258.72</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江门市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9819.05</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9504.96</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阳江市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10302.61</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9675.64</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湛江市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3094.14</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2866.77</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茂名市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14081.45</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13704.31</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肇庆市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20528.37</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19866.68</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清远市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32960.01</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30582.89</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潮州市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5081.5</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5062.73</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揭阳市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7194.18</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7140.83</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云浮市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12312.59</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11281.92</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广州市</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200</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200</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乳阳林场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890.11</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890.11</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沙头角林场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27.93</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27.64</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龙眼洞林场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64.75</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64.75</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天井山林场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1330.56</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1330.56</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樟木头林场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434.4</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434.4</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乐昌林场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168.92</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168.92</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连山林场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308.16</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308.16</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东江林场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259.26</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259.26</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九连山林场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304.26</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304.21</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西江林场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580.27</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579.84</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德庆林场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263.9</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263.9</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郁南林场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597.66</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597.66</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云浮林场</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608.5</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608.5</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林科院西江分院</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2.69</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2.69</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国营雷州局</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58.54</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58.54</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省农垦总局</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136.83</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136.83</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省林业局机关</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868</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861.68</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政务中心</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460</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435.31</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广东车八岭国家级自然保护区管理局</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64</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64</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广东潮安凤凰山省级自然保护区管理处</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200</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191.6</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2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w:t>
            </w:r>
          </w:p>
        </w:tc>
        <w:tc>
          <w:tcPr>
            <w:tcW w:w="1320"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pacing w:val="-11"/>
                <w:sz w:val="24"/>
                <w:szCs w:val="24"/>
              </w:rPr>
              <w:t>广东曲江罗坑鳄蜥省级自然保护区管理处</w:t>
            </w:r>
          </w:p>
        </w:tc>
        <w:tc>
          <w:tcPr>
            <w:tcW w:w="1078"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999"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13.91</w:t>
            </w:r>
          </w:p>
        </w:tc>
        <w:tc>
          <w:tcPr>
            <w:tcW w:w="1175" w:type="pct"/>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46" w:type="pct"/>
            <w:gridSpan w:val="2"/>
            <w:shd w:val="clear" w:color="auto" w:fill="D6E3BC"/>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总计</w:t>
            </w:r>
          </w:p>
        </w:tc>
        <w:tc>
          <w:tcPr>
            <w:tcW w:w="1078" w:type="pct"/>
            <w:shd w:val="clear" w:color="auto" w:fill="D6E3BC"/>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265511.00</w:t>
            </w:r>
          </w:p>
        </w:tc>
        <w:tc>
          <w:tcPr>
            <w:tcW w:w="999" w:type="pct"/>
            <w:shd w:val="clear" w:color="auto" w:fill="D6E3BC"/>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230920.85</w:t>
            </w:r>
          </w:p>
        </w:tc>
        <w:tc>
          <w:tcPr>
            <w:tcW w:w="1175" w:type="pct"/>
            <w:shd w:val="clear" w:color="auto" w:fill="D6E3BC"/>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86.97</w:t>
            </w:r>
          </w:p>
        </w:tc>
      </w:tr>
    </w:tbl>
    <w:p>
      <w:pPr>
        <w:widowControl w:val="0"/>
        <w:kinsoku/>
        <w:autoSpaceDE/>
        <w:autoSpaceDN/>
        <w:adjustRightInd/>
        <w:snapToGrid/>
        <w:spacing w:before="156" w:beforeLines="50" w:line="360" w:lineRule="auto"/>
        <w:ind w:firstLine="640" w:firstLineChars="200"/>
        <w:jc w:val="both"/>
        <w:textAlignment w:val="auto"/>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Cs/>
          <w:color w:val="auto"/>
          <w:kern w:val="2"/>
          <w:sz w:val="32"/>
          <w:szCs w:val="32"/>
          <w:lang w:bidi="ar"/>
        </w:rPr>
        <w:t>支出率不达90%的单位有韶关市、梅州市、汕尾市，其中韶关市主要是由于曲江区、武江区等区县财政紧张，导致资金无法到位；梅州市受疫情影响经济下行，虽然林业部门按时提交财政请款拨付补偿资金，但财政部门在统筹资金时出现困难，三保资金缺口较大，未能按时将补偿资金支出到位，截止至2022年12月31日，仍有18631.33万元补偿资金未支出，五华县、丰顺县、兴宁市支出率偏低；汕尾市截止到2022年12月31日，公益林补偿资金尚有1035.48万元未支出，主要是2022年公益林补偿资金采取财政授权下达支付额度，个别乡镇未及时依据授权下达额度开展资金支出，特殊区域补偿资金未及时发放。</w:t>
      </w:r>
    </w:p>
    <w:p>
      <w:pPr>
        <w:pStyle w:val="5"/>
        <w:adjustRightInd/>
        <w:snapToGrid/>
        <w:spacing w:line="360" w:lineRule="auto"/>
        <w:ind w:firstLine="640"/>
        <w:rPr>
          <w:rFonts w:ascii="仿宋_GB2312" w:hAnsi="仿宋_GB2312" w:eastAsia="仿宋_GB2312" w:cs="仿宋_GB2312"/>
          <w:bCs w:val="0"/>
          <w:color w:val="auto"/>
        </w:rPr>
      </w:pPr>
      <w:bookmarkStart w:id="19" w:name="_Toc5795"/>
      <w:r>
        <w:rPr>
          <w:rFonts w:hint="eastAsia" w:ascii="仿宋_GB2312" w:hAnsi="仿宋_GB2312" w:eastAsia="仿宋_GB2312" w:cs="仿宋_GB2312"/>
          <w:bCs w:val="0"/>
          <w:color w:val="auto"/>
        </w:rPr>
        <w:t>2.专项资金完成绩效目标情况。</w:t>
      </w:r>
      <w:bookmarkEnd w:id="19"/>
    </w:p>
    <w:p>
      <w:pPr>
        <w:widowControl w:val="0"/>
        <w:kinsoku/>
        <w:autoSpaceDE/>
        <w:autoSpaceDN/>
        <w:adjustRightInd/>
        <w:snapToGrid/>
        <w:spacing w:line="360" w:lineRule="auto"/>
        <w:ind w:firstLine="640" w:firstLineChars="200"/>
        <w:jc w:val="both"/>
        <w:textAlignment w:val="auto"/>
        <w:rPr>
          <w:rStyle w:val="27"/>
          <w:rFonts w:ascii="仿宋_GB2312" w:hAnsi="仿宋_GB2312" w:eastAsia="仿宋_GB2312" w:cs="仿宋_GB2312"/>
          <w:bCs w:val="0"/>
          <w:color w:val="auto"/>
        </w:rPr>
      </w:pPr>
      <w:r>
        <w:rPr>
          <w:rStyle w:val="27"/>
          <w:rFonts w:hint="eastAsia" w:ascii="仿宋_GB2312" w:hAnsi="仿宋_GB2312" w:eastAsia="仿宋_GB2312" w:cs="仿宋_GB2312"/>
          <w:bCs w:val="0"/>
          <w:color w:val="auto"/>
        </w:rPr>
        <w:t>“2022年省级以上公益林效益补偿资金”项目共投入2</w:t>
      </w:r>
      <w:r>
        <w:rPr>
          <w:rStyle w:val="27"/>
          <w:rFonts w:ascii="仿宋_GB2312" w:hAnsi="仿宋_GB2312" w:eastAsia="仿宋_GB2312" w:cs="仿宋_GB2312"/>
          <w:bCs w:val="0"/>
          <w:color w:val="auto"/>
        </w:rPr>
        <w:t>65511.00</w:t>
      </w:r>
      <w:r>
        <w:rPr>
          <w:rStyle w:val="27"/>
          <w:rFonts w:hint="eastAsia" w:ascii="仿宋_GB2312" w:hAnsi="仿宋_GB2312" w:eastAsia="仿宋_GB2312" w:cs="仿宋_GB2312"/>
          <w:bCs w:val="0"/>
          <w:color w:val="auto"/>
        </w:rPr>
        <w:t>万元。其中2</w:t>
      </w:r>
      <w:r>
        <w:rPr>
          <w:rStyle w:val="27"/>
          <w:rFonts w:ascii="仿宋_GB2312" w:hAnsi="仿宋_GB2312" w:eastAsia="仿宋_GB2312" w:cs="仿宋_GB2312"/>
          <w:bCs w:val="0"/>
          <w:color w:val="auto"/>
        </w:rPr>
        <w:t>57954.00</w:t>
      </w:r>
      <w:r>
        <w:rPr>
          <w:rStyle w:val="27"/>
          <w:rFonts w:hint="eastAsia" w:ascii="仿宋_GB2312" w:hAnsi="仿宋_GB2312" w:eastAsia="仿宋_GB2312" w:cs="仿宋_GB2312"/>
          <w:bCs w:val="0"/>
          <w:color w:val="auto"/>
        </w:rPr>
        <w:t>万元用于</w:t>
      </w:r>
      <w:r>
        <w:rPr>
          <w:rStyle w:val="27"/>
          <w:rFonts w:ascii="仿宋_GB2312" w:hAnsi="仿宋_GB2312" w:eastAsia="仿宋_GB2312" w:cs="仿宋_GB2312"/>
          <w:bCs w:val="0"/>
          <w:color w:val="auto"/>
        </w:rPr>
        <w:t>16</w:t>
      </w:r>
      <w:r>
        <w:rPr>
          <w:rStyle w:val="27"/>
          <w:rFonts w:hint="eastAsia" w:ascii="仿宋_GB2312" w:hAnsi="仿宋_GB2312" w:eastAsia="仿宋_GB2312" w:cs="仿宋_GB2312"/>
          <w:bCs w:val="0"/>
          <w:color w:val="auto"/>
        </w:rPr>
        <w:t>个地市（含省直管县）和1</w:t>
      </w:r>
      <w:r>
        <w:rPr>
          <w:rStyle w:val="27"/>
          <w:rFonts w:ascii="仿宋_GB2312" w:hAnsi="仿宋_GB2312" w:eastAsia="仿宋_GB2312" w:cs="仿宋_GB2312"/>
          <w:bCs w:val="0"/>
          <w:color w:val="auto"/>
        </w:rPr>
        <w:t>6</w:t>
      </w:r>
      <w:r>
        <w:rPr>
          <w:rStyle w:val="27"/>
          <w:rFonts w:hint="eastAsia" w:ascii="仿宋_GB2312" w:hAnsi="仿宋_GB2312" w:eastAsia="仿宋_GB2312" w:cs="仿宋_GB2312"/>
          <w:bCs w:val="0"/>
          <w:color w:val="auto"/>
        </w:rPr>
        <w:t>个省直单位的省级以上公益林损失性补偿资金。项目资金完成了我省</w:t>
      </w:r>
      <w:r>
        <w:rPr>
          <w:rStyle w:val="27"/>
          <w:rFonts w:ascii="仿宋_GB2312" w:hAnsi="仿宋_GB2312" w:eastAsia="仿宋_GB2312" w:cs="仿宋_GB2312"/>
          <w:bCs w:val="0"/>
          <w:color w:val="auto"/>
        </w:rPr>
        <w:t>6747.94</w:t>
      </w:r>
      <w:r>
        <w:rPr>
          <w:rStyle w:val="27"/>
          <w:rFonts w:hint="eastAsia" w:ascii="仿宋_GB2312" w:hAnsi="仿宋_GB2312" w:eastAsia="仿宋_GB2312" w:cs="仿宋_GB2312"/>
          <w:bCs w:val="0"/>
          <w:color w:val="auto"/>
        </w:rPr>
        <w:t>万亩公益林的补偿工作，</w:t>
      </w:r>
      <w:r>
        <w:rPr>
          <w:rFonts w:hint="eastAsia" w:ascii="仿宋_GB2312" w:hAnsi="仿宋_GB2312" w:eastAsia="仿宋_GB2312" w:cs="仿宋_GB2312"/>
          <w:bCs/>
          <w:color w:val="auto"/>
          <w:sz w:val="32"/>
          <w:szCs w:val="32"/>
        </w:rPr>
        <w:t>补偿标准由2</w:t>
      </w:r>
      <w:r>
        <w:rPr>
          <w:rFonts w:ascii="仿宋_GB2312" w:hAnsi="仿宋_GB2312" w:eastAsia="仿宋_GB2312" w:cs="仿宋_GB2312"/>
          <w:bCs/>
          <w:color w:val="auto"/>
          <w:sz w:val="32"/>
          <w:szCs w:val="32"/>
        </w:rPr>
        <w:t>021</w:t>
      </w:r>
      <w:r>
        <w:rPr>
          <w:rFonts w:hint="eastAsia" w:ascii="仿宋_GB2312" w:hAnsi="仿宋_GB2312" w:eastAsia="仿宋_GB2312" w:cs="仿宋_GB2312"/>
          <w:bCs/>
          <w:color w:val="auto"/>
          <w:sz w:val="32"/>
          <w:szCs w:val="32"/>
        </w:rPr>
        <w:t>年的平均42元/亩提高到44元/亩。根据一般区域和特殊区域面积计算，一般区域补偿标准为37元/亩，特殊区域补偿标准为49.4元/亩。补偿标准连续1</w:t>
      </w:r>
      <w:r>
        <w:rPr>
          <w:rFonts w:ascii="仿宋_GB2312" w:hAnsi="仿宋_GB2312" w:eastAsia="仿宋_GB2312" w:cs="仿宋_GB2312"/>
          <w:bCs/>
          <w:color w:val="auto"/>
          <w:sz w:val="32"/>
          <w:szCs w:val="32"/>
        </w:rPr>
        <w:t>5</w:t>
      </w:r>
      <w:r>
        <w:rPr>
          <w:rFonts w:hint="eastAsia" w:ascii="仿宋_GB2312" w:hAnsi="仿宋_GB2312" w:eastAsia="仿宋_GB2312" w:cs="仿宋_GB2312"/>
          <w:bCs/>
          <w:color w:val="auto"/>
          <w:sz w:val="32"/>
          <w:szCs w:val="32"/>
        </w:rPr>
        <w:t>年持续增长。</w:t>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bCs/>
          <w:color w:val="auto"/>
          <w:sz w:val="32"/>
          <w:szCs w:val="32"/>
        </w:rPr>
      </w:pPr>
      <w:r>
        <w:rPr>
          <w:rStyle w:val="27"/>
          <w:rFonts w:hint="eastAsia" w:ascii="仿宋_GB2312" w:hAnsi="仿宋_GB2312" w:eastAsia="仿宋_GB2312" w:cs="仿宋_GB2312"/>
          <w:bCs w:val="0"/>
          <w:color w:val="auto"/>
        </w:rPr>
        <w:t>其余7</w:t>
      </w:r>
      <w:r>
        <w:rPr>
          <w:rStyle w:val="27"/>
          <w:rFonts w:ascii="仿宋_GB2312" w:hAnsi="仿宋_GB2312" w:eastAsia="仿宋_GB2312" w:cs="仿宋_GB2312"/>
          <w:bCs w:val="0"/>
          <w:color w:val="auto"/>
        </w:rPr>
        <w:t>557</w:t>
      </w:r>
      <w:r>
        <w:rPr>
          <w:rStyle w:val="27"/>
          <w:rFonts w:hint="eastAsia" w:ascii="仿宋_GB2312" w:hAnsi="仿宋_GB2312" w:eastAsia="仿宋_GB2312" w:cs="仿宋_GB2312"/>
          <w:bCs w:val="0"/>
          <w:color w:val="auto"/>
        </w:rPr>
        <w:t>万用于</w:t>
      </w:r>
      <w:r>
        <w:rPr>
          <w:rFonts w:hint="eastAsia" w:ascii="仿宋_GB2312" w:hAnsi="仿宋_GB2312" w:eastAsia="仿宋_GB2312" w:cs="仿宋_GB2312"/>
          <w:bCs/>
          <w:color w:val="auto"/>
          <w:sz w:val="32"/>
          <w:szCs w:val="32"/>
        </w:rPr>
        <w:t>公益林管护管理和示范建设。完成公益林示范区建设1</w:t>
      </w:r>
      <w:r>
        <w:rPr>
          <w:rFonts w:ascii="仿宋_GB2312" w:hAnsi="仿宋_GB2312" w:eastAsia="仿宋_GB2312" w:cs="仿宋_GB2312"/>
          <w:bCs/>
          <w:color w:val="auto"/>
          <w:sz w:val="32"/>
          <w:szCs w:val="32"/>
        </w:rPr>
        <w:t>5</w:t>
      </w:r>
      <w:r>
        <w:rPr>
          <w:rFonts w:hint="eastAsia" w:ascii="仿宋_GB2312" w:hAnsi="仿宋_GB2312" w:eastAsia="仿宋_GB2312" w:cs="仿宋_GB2312"/>
          <w:bCs/>
          <w:color w:val="auto"/>
          <w:sz w:val="32"/>
          <w:szCs w:val="32"/>
        </w:rPr>
        <w:t>个，示范效应明显。区域森林火灾受害率控制在</w:t>
      </w:r>
      <w:r>
        <w:rPr>
          <w:rFonts w:ascii="仿宋_GB2312" w:hAnsi="仿宋_GB2312" w:eastAsia="仿宋_GB2312" w:cs="仿宋_GB2312"/>
          <w:bCs/>
          <w:color w:val="auto"/>
          <w:sz w:val="32"/>
          <w:szCs w:val="32"/>
        </w:rPr>
        <w:t>0.025‰</w:t>
      </w:r>
      <w:r>
        <w:rPr>
          <w:rFonts w:hint="eastAsia" w:ascii="仿宋_GB2312" w:hAnsi="仿宋_GB2312" w:eastAsia="仿宋_GB2312" w:cs="仿宋_GB2312"/>
          <w:bCs/>
          <w:color w:val="auto"/>
          <w:sz w:val="32"/>
          <w:szCs w:val="32"/>
        </w:rPr>
        <w:t>，区域林业有害生物成灾率</w:t>
      </w:r>
      <w:r>
        <w:rPr>
          <w:rFonts w:ascii="仿宋_GB2312" w:hAnsi="仿宋_GB2312" w:eastAsia="仿宋_GB2312" w:cs="仿宋_GB2312"/>
          <w:bCs/>
          <w:color w:val="auto"/>
          <w:sz w:val="32"/>
          <w:szCs w:val="32"/>
        </w:rPr>
        <w:t>25.7‰</w:t>
      </w:r>
      <w:r>
        <w:rPr>
          <w:rFonts w:hint="eastAsia" w:ascii="仿宋_GB2312" w:hAnsi="仿宋_GB2312" w:eastAsia="仿宋_GB2312" w:cs="仿宋_GB2312"/>
          <w:bCs/>
          <w:color w:val="auto"/>
          <w:sz w:val="32"/>
          <w:szCs w:val="32"/>
        </w:rPr>
        <w:t>，完成了包括广东省乳阳林场在内6个省直单位的公益林管护救灾复产项目，全面提升了防灾减灾和应急处理能力，带动属地群众就业，促进了当地经济发展。</w:t>
      </w:r>
    </w:p>
    <w:p>
      <w:pPr>
        <w:pStyle w:val="4"/>
        <w:keepNext w:val="0"/>
        <w:keepLines w:val="0"/>
        <w:widowControl w:val="0"/>
        <w:adjustRightInd/>
        <w:snapToGrid/>
        <w:spacing w:line="360" w:lineRule="auto"/>
        <w:ind w:firstLine="640"/>
        <w:rPr>
          <w:rFonts w:ascii="仿宋_GB2312" w:eastAsia="仿宋_GB2312"/>
          <w:b/>
          <w:bCs w:val="0"/>
        </w:rPr>
      </w:pPr>
      <w:r>
        <w:rPr>
          <w:rFonts w:hint="eastAsia" w:ascii="仿宋_GB2312" w:eastAsia="仿宋_GB2312"/>
          <w:b/>
          <w:bCs w:val="0"/>
        </w:rPr>
        <w:t>3.专项资金分用途使用绩效</w:t>
      </w:r>
    </w:p>
    <w:p>
      <w:pPr>
        <w:adjustRightInd/>
        <w:snapToGrid/>
        <w:spacing w:line="360" w:lineRule="auto"/>
        <w:ind w:firstLine="640" w:firstLineChars="200"/>
        <w:jc w:val="both"/>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（1）生态补偿标准不断提高</w:t>
      </w:r>
    </w:p>
    <w:p>
      <w:pPr>
        <w:widowControl w:val="0"/>
        <w:kinsoku/>
        <w:autoSpaceDE/>
        <w:autoSpaceDN/>
        <w:adjustRightInd/>
        <w:snapToGrid/>
        <w:spacing w:line="360" w:lineRule="auto"/>
        <w:ind w:firstLine="640" w:firstLineChars="200"/>
        <w:jc w:val="both"/>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我省一直致力于构建随公益林综合价值、GDP和财政收入增长而增长的森林生态效益补偿机制。省政府先后数次做出逐年提高公益林补偿标准的决定，补偿标准提幅逐步上升，2008-2017年补偿标准每亩每年提高2元，2017年达到了平均每亩28元；2018年起，实施新一轮公益林效益补偿提标政策，每亩每年提高4元；2020年平均补偿标准达到每亩40元；2021年平均补偿标准达到每亩4</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元；2022年平均补偿标准达到每亩44元，较周边省份高。持续提供公益林补偿标准，以</w:t>
      </w:r>
      <w:r>
        <w:rPr>
          <w:rFonts w:hint="eastAsia" w:ascii="仿宋_GB2312" w:hAnsi="仿宋_GB2312" w:eastAsia="仿宋_GB2312" w:cs="仿宋_GB2312"/>
          <w:sz w:val="32"/>
          <w:szCs w:val="32"/>
        </w:rPr>
        <w:t>小步快跑的趋势回应林农的期盼。2022年</w:t>
      </w:r>
      <w:r>
        <w:rPr>
          <w:rFonts w:hint="eastAsia" w:ascii="仿宋_GB2312" w:hAnsi="仿宋_GB2312" w:eastAsia="仿宋_GB2312" w:cs="仿宋_GB2312"/>
          <w:color w:val="auto"/>
          <w:sz w:val="32"/>
          <w:szCs w:val="32"/>
        </w:rPr>
        <w:t>落实省级财政公益林效益补偿资金2</w:t>
      </w:r>
      <w:r>
        <w:rPr>
          <w:rFonts w:ascii="仿宋_GB2312" w:hAnsi="仿宋_GB2312" w:eastAsia="仿宋_GB2312" w:cs="仿宋_GB2312"/>
          <w:color w:val="auto"/>
          <w:sz w:val="32"/>
          <w:szCs w:val="32"/>
        </w:rPr>
        <w:t>6.55</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bCs/>
          <w:sz w:val="32"/>
          <w:szCs w:val="32"/>
          <w:lang w:bidi="ar"/>
        </w:rPr>
        <w:t>惠及全省约2650万林农。</w:t>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时，继续推动各地实施公益林分区域差异化补偿，将特殊区域的补偿标准提高到49.4元/亩，一般区域提高到37元/亩。实现连续15年不间断提升补偿标准，广大山区群众获得了实实在在的利益，绿色生态补偿惠民效益不断凸显。为推动广东经济社会高质量发展、提升生态质量、改善民生福祉和维护社会和谐稳定作出了积极贡献。</w:t>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加强公益林管护，筑牢生态安全屏障</w:t>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bCs/>
          <w:snapToGrid/>
          <w:color w:val="auto"/>
          <w:kern w:val="2"/>
          <w:sz w:val="32"/>
          <w:szCs w:val="32"/>
          <w:lang w:bidi="ar"/>
        </w:rPr>
      </w:pPr>
      <w:r>
        <w:rPr>
          <w:rFonts w:hint="eastAsia" w:ascii="仿宋_GB2312" w:hAnsi="仿宋_GB2312" w:eastAsia="仿宋_GB2312" w:cs="仿宋_GB2312"/>
          <w:bCs/>
          <w:color w:val="auto"/>
          <w:kern w:val="2"/>
          <w:sz w:val="32"/>
          <w:szCs w:val="32"/>
          <w:lang w:bidi="ar"/>
        </w:rPr>
        <w:t>有效管护全省省级以上公益林6747.94万亩，森林质量逐步提升，公益林中森林质量较好的一二类林率提高到86.7%，</w:t>
      </w:r>
      <w:r>
        <w:rPr>
          <w:rStyle w:val="27"/>
          <w:rFonts w:hint="eastAsia" w:ascii="仿宋_GB2312" w:hAnsi="仿宋_GB2312" w:eastAsia="仿宋_GB2312" w:cs="仿宋_GB2312"/>
          <w:bCs w:val="0"/>
          <w:color w:val="auto"/>
        </w:rPr>
        <w:t>比商品林高12个百分点</w:t>
      </w:r>
      <w:r>
        <w:rPr>
          <w:rFonts w:hint="eastAsia" w:ascii="仿宋_GB2312" w:hAnsi="仿宋_GB2312" w:eastAsia="仿宋_GB2312" w:cs="仿宋_GB2312"/>
          <w:bCs/>
          <w:color w:val="auto"/>
          <w:kern w:val="2"/>
          <w:sz w:val="32"/>
          <w:szCs w:val="32"/>
          <w:lang w:bidi="ar"/>
        </w:rPr>
        <w:t>，全省森林中，面积占比42%的公益林，贡献了全省森林蓄积量的54%，生态供给、调节、服务、支持功能进一步增强。</w:t>
      </w:r>
      <w:r>
        <w:rPr>
          <w:rFonts w:hint="eastAsia" w:ascii="仿宋_GB2312" w:hAnsi="仿宋_GB2312" w:eastAsia="仿宋_GB2312" w:cs="仿宋_GB2312"/>
          <w:color w:val="auto"/>
          <w:sz w:val="32"/>
          <w:szCs w:val="32"/>
        </w:rPr>
        <w:t>城乡宜居环境进一步优化，人民群众获得幸福感得到提升。由于全省公益林得到有效保护，全省森林覆盖率和森林蓄积量均有所增加。总体呈现稳定增长态势，位居全国前列。</w:t>
      </w:r>
      <w:r>
        <w:rPr>
          <w:rFonts w:hint="eastAsia" w:ascii="仿宋_GB2312" w:hAnsi="仿宋_GB2312" w:eastAsia="仿宋_GB2312" w:cs="仿宋_GB2312"/>
          <w:bCs/>
          <w:sz w:val="32"/>
          <w:szCs w:val="32"/>
          <w:lang w:bidi="ar"/>
        </w:rPr>
        <w:t>有序推进公益林和天然林范围数据与</w:t>
      </w:r>
      <w:r>
        <w:rPr>
          <w:rFonts w:hint="eastAsia" w:ascii="仿宋_GB2312" w:hAnsi="仿宋_GB2312" w:eastAsia="仿宋_GB2312" w:cs="仿宋_GB2312"/>
          <w:sz w:val="32"/>
          <w:szCs w:val="32"/>
          <w:lang w:bidi="ar"/>
        </w:rPr>
        <w:t>国土“三调”数据对接融合和并轨管理工作，</w:t>
      </w:r>
      <w:r>
        <w:rPr>
          <w:rFonts w:hint="eastAsia" w:ascii="仿宋_GB2312" w:hAnsi="仿宋_GB2312" w:eastAsia="仿宋_GB2312" w:cs="仿宋_GB2312"/>
          <w:bCs/>
          <w:sz w:val="32"/>
          <w:szCs w:val="32"/>
          <w:lang w:bidi="ar"/>
        </w:rPr>
        <w:t>解决与耕地、基本农田等交叉重叠问题，确保“一张图”管理。</w:t>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公益林资源管理管护工作到位，管理能力不断提升</w:t>
      </w:r>
    </w:p>
    <w:p>
      <w:pPr>
        <w:kinsoku/>
        <w:autoSpaceDE/>
        <w:autoSpaceDN/>
        <w:adjustRightInd/>
        <w:snapToGrid/>
        <w:spacing w:line="360" w:lineRule="auto"/>
        <w:ind w:firstLine="643" w:firstLineChars="200"/>
        <w:jc w:val="both"/>
        <w:textAlignment w:val="auto"/>
        <w:rPr>
          <w:rFonts w:ascii="仿宋_GB2312" w:hAnsi="仿宋_GB2312" w:eastAsia="仿宋_GB2312" w:cs="仿宋_GB2312"/>
          <w:bCs/>
          <w:color w:val="auto"/>
          <w:kern w:val="2"/>
          <w:sz w:val="32"/>
          <w:szCs w:val="32"/>
          <w:lang w:bidi="ar"/>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大力推进公益林完善落界工作，基本理清了公益林与永久基本农田重叠底数，初步实现省级以上公益林档案数据与全省森林资源“一张图”管理。优化全省省级以上公益林布局，部分历史问题和现实矛盾得到妥善解决，绿色发展空间加快释放。</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各地进一步强化公益林管护，组建了县-镇-村三级公益林管护队伍，落实专职管护人员约3.29万人。据统计，2022年，全省公益林森林火灾受害率为0.025‰，林业有害生物成灾率为25.65‰（注：此项指标“十四五”期间国家林草局发布新成灾率控制指标为26.32‰），未发展采石、打树枝等现象，均完成了相应指标任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Cs/>
          <w:color w:val="auto"/>
          <w:sz w:val="32"/>
          <w:szCs w:val="32"/>
        </w:rPr>
        <w:t>加强制度建设，扎实推进公益林和天然林保护管理法制化、规范化。积极参与《广东省森林保护管理条例》修订工作，做好公益林和天然林保护管理的制度衔接，对条例中有关内容进行修改完善。启动《广东省省级公益林划定和管理办法》、《广东省省级公益林调整管理规范》制修订，对接《广东省森林保护管理条例》的内容，进一步细化和规范公益林保护管理规定。配合国家林草局做好《国家级公益林划定和管理办法》、《全国天然林保护修复中长期规划》修订工作。</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bCs/>
          <w:color w:val="auto"/>
          <w:sz w:val="32"/>
          <w:szCs w:val="32"/>
        </w:rPr>
        <w:t>加快构建精细化管理平台，扎实推动惠州市、韶关市、连州市等地建设公益林精细化管理系统，将公益林范围和资金管理、森林监管、在线巡护等管理管护信息精准落实到山头地块。</w:t>
      </w:r>
      <w:r>
        <w:rPr>
          <w:rFonts w:hint="eastAsia" w:ascii="仿宋_GB2312" w:hAnsi="仿宋_GB2312" w:eastAsia="仿宋_GB2312" w:cs="仿宋_GB2312"/>
          <w:b/>
          <w:bCs/>
          <w:color w:val="auto"/>
          <w:sz w:val="32"/>
          <w:szCs w:val="32"/>
        </w:rPr>
        <w:t>五是</w:t>
      </w:r>
      <w:r>
        <w:rPr>
          <w:rFonts w:hint="eastAsia" w:ascii="仿宋_GB2312" w:hAnsi="仿宋_GB2312" w:eastAsia="仿宋_GB2312" w:cs="仿宋_GB2312"/>
          <w:bCs/>
          <w:color w:val="auto"/>
          <w:sz w:val="32"/>
          <w:szCs w:val="32"/>
        </w:rPr>
        <w:t>强化资金监管，</w:t>
      </w:r>
      <w:r>
        <w:rPr>
          <w:rFonts w:hint="eastAsia" w:ascii="仿宋_GB2312" w:hAnsi="仿宋_GB2312" w:eastAsia="仿宋_GB2312" w:cs="仿宋_GB2312"/>
          <w:bCs/>
          <w:sz w:val="32"/>
          <w:szCs w:val="32"/>
          <w:shd w:val="clear" w:color="auto" w:fill="FFFFFF"/>
          <w:lang w:bidi="ar"/>
        </w:rPr>
        <w:t>“公益林效益补偿资金监管”列入省林业局双百攻坚行动，并把资金支出情况作为林长制考核的扣分项，通过层层压实责任，开展督导督办、通报约谈、调度提醒和主要领导致信等多种有力举措，全面打破了部分地区往年在春节前后发放上一年度损失性补偿资金的“惯性思维”，公益林效益补偿资金支出率较往年同期有较大提升</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
          <w:bCs/>
          <w:color w:val="auto"/>
          <w:sz w:val="32"/>
          <w:szCs w:val="32"/>
        </w:rPr>
        <w:t>六是</w:t>
      </w:r>
      <w:r>
        <w:rPr>
          <w:rFonts w:hint="eastAsia" w:ascii="仿宋_GB2312" w:hAnsi="仿宋_GB2312" w:eastAsia="仿宋_GB2312" w:cs="仿宋_GB2312"/>
          <w:color w:val="auto"/>
          <w:sz w:val="32"/>
          <w:szCs w:val="32"/>
        </w:rPr>
        <w:t>大力开展建设成效宣传，持续组织开展相关宣传活动，如</w:t>
      </w:r>
      <w:r>
        <w:rPr>
          <w:rFonts w:hint="eastAsia" w:ascii="仿宋_GB2312" w:hAnsi="Times New Roman" w:eastAsia="仿宋_GB2312" w:cs="仿宋_GB2312"/>
          <w:bCs/>
          <w:color w:val="auto"/>
          <w:kern w:val="2"/>
          <w:sz w:val="32"/>
          <w:szCs w:val="32"/>
          <w:lang w:bidi="ar"/>
        </w:rPr>
        <w:t>组织开展广</w:t>
      </w:r>
      <w:r>
        <w:rPr>
          <w:rFonts w:hint="eastAsia" w:ascii="仿宋_GB2312" w:hAnsi="仿宋_GB2312" w:eastAsia="仿宋_GB2312" w:cs="仿宋_GB2312"/>
          <w:bCs/>
          <w:color w:val="auto"/>
          <w:kern w:val="2"/>
          <w:sz w:val="32"/>
          <w:szCs w:val="32"/>
          <w:lang w:bidi="ar"/>
        </w:rPr>
        <w:t>东省公益林LOGO设计大赛、融媒体产品的发布、新闻采访活动等</w:t>
      </w:r>
      <w:r>
        <w:rPr>
          <w:rFonts w:hint="eastAsia" w:ascii="仿宋_GB2312" w:hAnsi="仿宋_GB2312" w:eastAsia="仿宋_GB2312" w:cs="仿宋_GB2312"/>
          <w:color w:val="auto"/>
          <w:sz w:val="32"/>
          <w:szCs w:val="32"/>
        </w:rPr>
        <w:t>，取得了良好的宣传效果，提升了广大人民群众对我省林业工作的知晓率。</w:t>
      </w:r>
    </w:p>
    <w:p>
      <w:pPr>
        <w:pStyle w:val="4"/>
        <w:keepNext w:val="0"/>
        <w:keepLines w:val="0"/>
        <w:widowControl w:val="0"/>
        <w:adjustRightInd/>
        <w:snapToGrid/>
        <w:spacing w:line="360" w:lineRule="auto"/>
        <w:ind w:firstLine="640"/>
        <w:rPr>
          <w:rFonts w:eastAsia="楷体_GB2312" w:cs="仿宋"/>
          <w:b/>
          <w:bCs w:val="0"/>
        </w:rPr>
      </w:pPr>
      <w:r>
        <w:rPr>
          <w:rFonts w:hint="eastAsia" w:eastAsia="楷体_GB2312" w:cs="仿宋"/>
          <w:b/>
          <w:bCs w:val="0"/>
        </w:rPr>
        <w:t>（三）专项资金使用绩效存在的问题</w:t>
      </w:r>
    </w:p>
    <w:p>
      <w:pPr>
        <w:pStyle w:val="5"/>
        <w:widowControl w:val="0"/>
        <w:adjustRightInd/>
        <w:snapToGrid/>
        <w:spacing w:line="360" w:lineRule="auto"/>
        <w:ind w:firstLine="640"/>
        <w:rPr>
          <w:rFonts w:ascii="仿宋_GB2312" w:hAnsi="仿宋_GB2312" w:eastAsia="仿宋_GB2312" w:cs="仿宋_GB2312"/>
          <w:b w:val="0"/>
          <w:color w:val="auto"/>
        </w:rPr>
      </w:pPr>
      <w:r>
        <w:rPr>
          <w:rFonts w:hint="eastAsia" w:ascii="仿宋_GB2312" w:hAnsi="仿宋_GB2312" w:eastAsia="仿宋_GB2312" w:cs="仿宋_GB2312"/>
          <w:b w:val="0"/>
          <w:color w:val="auto"/>
        </w:rPr>
        <w:t>1.公益林补偿标准与林农期盼仍有差距。</w:t>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尽管我省财政不断提高公益林补偿标准，近年采取小步快跑的方式，加快了补偿标准提高的步伐，2022年平均补偿标准达到44元/亩，但是由于广东省公益林效益补偿受惠面非常广，公益林效益补偿人均收益占广东省农村居民人均收入比例较低，</w:t>
      </w:r>
      <w:r>
        <w:rPr>
          <w:rFonts w:hint="eastAsia" w:ascii="Times New Roman" w:hAnsi="Times New Roman" w:eastAsia="仿宋_GB2312" w:cs="Times New Roman"/>
          <w:color w:val="auto"/>
          <w:sz w:val="32"/>
          <w:szCs w:val="32"/>
        </w:rPr>
        <w:t>广大林农仍期盼进一步提高公益林补偿标准</w:t>
      </w:r>
      <w:r>
        <w:rPr>
          <w:rFonts w:hint="eastAsia" w:ascii="仿宋_GB2312" w:hAnsi="仿宋_GB2312" w:eastAsia="仿宋_GB2312" w:cs="仿宋_GB2312"/>
          <w:color w:val="auto"/>
          <w:sz w:val="32"/>
          <w:szCs w:val="32"/>
        </w:rPr>
        <w:t>。差异化补偿政策引导激发林权权利人保护和建设修复公益林和天然林积极性的作用亟待进一步发挥。</w:t>
      </w:r>
    </w:p>
    <w:p>
      <w:pPr>
        <w:pStyle w:val="5"/>
        <w:keepNext w:val="0"/>
        <w:keepLines w:val="0"/>
        <w:widowControl w:val="0"/>
        <w:adjustRightInd/>
        <w:snapToGrid/>
        <w:spacing w:line="360" w:lineRule="auto"/>
        <w:ind w:firstLine="640"/>
        <w:rPr>
          <w:rFonts w:ascii="仿宋_GB2312" w:hAnsi="仿宋_GB2312" w:eastAsia="仿宋_GB2312" w:cs="仿宋_GB2312"/>
          <w:b w:val="0"/>
          <w:color w:val="auto"/>
        </w:rPr>
      </w:pPr>
      <w:r>
        <w:rPr>
          <w:rFonts w:hint="eastAsia" w:ascii="仿宋_GB2312" w:hAnsi="仿宋_GB2312" w:eastAsia="仿宋_GB2312" w:cs="仿宋_GB2312"/>
          <w:b w:val="0"/>
          <w:color w:val="auto"/>
        </w:rPr>
        <w:t>2.部分公益林效益补偿资金</w:t>
      </w:r>
      <w:bookmarkStart w:id="20" w:name="OLE_LINK5"/>
      <w:r>
        <w:rPr>
          <w:rFonts w:hint="eastAsia" w:ascii="仿宋_GB2312" w:hAnsi="仿宋_GB2312" w:eastAsia="仿宋_GB2312" w:cs="仿宋_GB2312"/>
          <w:b w:val="0"/>
          <w:color w:val="auto"/>
        </w:rPr>
        <w:t>未及时发放</w:t>
      </w:r>
      <w:bookmarkEnd w:id="20"/>
      <w:r>
        <w:rPr>
          <w:rFonts w:hint="eastAsia" w:ascii="仿宋_GB2312" w:hAnsi="仿宋_GB2312" w:eastAsia="仿宋_GB2312" w:cs="仿宋_GB2312"/>
          <w:b w:val="0"/>
          <w:color w:val="auto"/>
        </w:rPr>
        <w:t>。</w:t>
      </w:r>
    </w:p>
    <w:p>
      <w:pPr>
        <w:widowControl w:val="0"/>
        <w:kinsoku/>
        <w:autoSpaceDE/>
        <w:autoSpaceDN/>
        <w:adjustRightInd/>
        <w:snapToGrid/>
        <w:spacing w:line="360" w:lineRule="auto"/>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主要原因有：</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机构改革中机构变动和人员流动大，影响了公益林工作的正常开展。</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山林权属纠纷导致部分补偿资金长时间滞留，难以发放。</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在差异化补偿政策执行中，存在特殊区域具体地块、面积难以确认，同一村组甚至同一地块补偿标准相差较多等情况，群众意见较大，具体补偿对象难以明确，导致补偿资金未能发放。</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部分农户提供的账号错误或长期外出打工无法提供身份证等。</w:t>
      </w:r>
      <w:r>
        <w:rPr>
          <w:rFonts w:hint="eastAsia" w:ascii="仿宋_GB2312" w:hAnsi="仿宋_GB2312" w:eastAsia="仿宋_GB2312" w:cs="仿宋_GB2312"/>
          <w:b/>
          <w:color w:val="auto"/>
          <w:sz w:val="32"/>
          <w:szCs w:val="32"/>
        </w:rPr>
        <w:t>五是</w:t>
      </w:r>
      <w:r>
        <w:rPr>
          <w:rFonts w:hint="eastAsia" w:ascii="仿宋_GB2312" w:hAnsi="仿宋_GB2312" w:eastAsia="仿宋_GB2312" w:cs="仿宋_GB2312"/>
          <w:color w:val="auto"/>
          <w:sz w:val="32"/>
          <w:szCs w:val="32"/>
        </w:rPr>
        <w:t>部分地市区县财政紧张，导致资金无法按时到位。</w:t>
      </w:r>
    </w:p>
    <w:p>
      <w:pPr>
        <w:pStyle w:val="3"/>
        <w:keepNext w:val="0"/>
        <w:keepLines w:val="0"/>
        <w:widowControl w:val="0"/>
        <w:adjustRightInd/>
        <w:snapToGrid/>
        <w:spacing w:line="360" w:lineRule="auto"/>
        <w:ind w:firstLine="640" w:firstLineChars="200"/>
        <w:rPr>
          <w:rFonts w:ascii="Times New Roman" w:hAnsi="Times New Roman" w:cs="Times New Roman"/>
        </w:rPr>
      </w:pPr>
      <w:r>
        <w:rPr>
          <w:rFonts w:hint="eastAsia" w:ascii="Times New Roman" w:hAnsi="Times New Roman" w:cs="Times New Roman"/>
        </w:rPr>
        <w:t>三</w:t>
      </w:r>
      <w:r>
        <w:rPr>
          <w:rFonts w:hint="eastAsia" w:ascii="Times New Roman" w:hAnsi="Times New Roman"/>
        </w:rPr>
        <w:t>、</w:t>
      </w:r>
      <w:r>
        <w:rPr>
          <w:rFonts w:hint="eastAsia"/>
        </w:rPr>
        <w:t>改进意见</w:t>
      </w:r>
    </w:p>
    <w:p>
      <w:pPr>
        <w:widowControl w:val="0"/>
        <w:kinsoku/>
        <w:autoSpaceDE/>
        <w:autoSpaceDN/>
        <w:adjustRightInd/>
        <w:snapToGrid/>
        <w:spacing w:line="360" w:lineRule="auto"/>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lang w:bidi="ar"/>
        </w:rPr>
        <w:t>一是</w:t>
      </w:r>
      <w:r>
        <w:rPr>
          <w:rFonts w:hint="eastAsia" w:ascii="仿宋_GB2312" w:hAnsi="仿宋_GB2312" w:eastAsia="仿宋_GB2312" w:cs="仿宋_GB2312"/>
          <w:color w:val="auto"/>
          <w:sz w:val="32"/>
          <w:szCs w:val="32"/>
        </w:rPr>
        <w:t>接续提高公益林补偿标准，切实提升广大山区群众的利益，稳步提升绿色生态补偿惠民效益</w:t>
      </w:r>
      <w:r>
        <w:rPr>
          <w:rFonts w:hint="eastAsia" w:ascii="仿宋_GB2312" w:hAnsi="仿宋_GB2312" w:eastAsia="仿宋_GB2312" w:cs="仿宋_GB2312"/>
          <w:color w:val="auto"/>
          <w:kern w:val="2"/>
          <w:sz w:val="32"/>
          <w:szCs w:val="32"/>
          <w:lang w:bidi="ar"/>
        </w:rPr>
        <w:t>。</w:t>
      </w:r>
      <w:r>
        <w:rPr>
          <w:rFonts w:hint="eastAsia" w:ascii="仿宋_GB2312" w:hAnsi="仿宋_GB2312" w:eastAsia="仿宋_GB2312" w:cs="仿宋_GB2312"/>
          <w:b/>
          <w:color w:val="auto"/>
          <w:kern w:val="2"/>
          <w:sz w:val="32"/>
          <w:szCs w:val="32"/>
          <w:lang w:bidi="ar"/>
        </w:rPr>
        <w:t>二是</w:t>
      </w:r>
      <w:r>
        <w:rPr>
          <w:rFonts w:hint="eastAsia" w:ascii="仿宋_GB2312" w:hAnsi="仿宋_GB2312" w:eastAsia="仿宋_GB2312" w:cs="仿宋_GB2312"/>
          <w:color w:val="auto"/>
          <w:sz w:val="32"/>
          <w:szCs w:val="32"/>
        </w:rPr>
        <w:t>强化资金监管和使用。</w:t>
      </w:r>
      <w:r>
        <w:rPr>
          <w:rFonts w:hint="eastAsia" w:ascii="仿宋_GB2312" w:hAnsi="仿宋_GB2312" w:eastAsia="仿宋_GB2312" w:cs="仿宋_GB2312"/>
          <w:bCs/>
          <w:color w:val="auto"/>
          <w:kern w:val="2"/>
          <w:sz w:val="32"/>
          <w:szCs w:val="32"/>
          <w:lang w:bidi="ar"/>
        </w:rPr>
        <w:t>提早谋划，督促各地提前做好下一年度补偿资金分配方案编制。</w:t>
      </w: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color w:val="auto"/>
          <w:sz w:val="32"/>
          <w:szCs w:val="32"/>
        </w:rPr>
        <w:t>推进精细化发展，有效提高公益林和天然林管理效率。在全省范围进一步推广使用</w:t>
      </w:r>
      <w:r>
        <w:rPr>
          <w:rFonts w:hint="eastAsia" w:ascii="仿宋_GB2312" w:hAnsi="仿宋_GB2312" w:eastAsia="仿宋_GB2312" w:cs="仿宋_GB2312"/>
          <w:color w:val="auto"/>
          <w:kern w:val="2"/>
          <w:sz w:val="32"/>
          <w:szCs w:val="32"/>
          <w:lang w:bidi="ar"/>
        </w:rPr>
        <w:t>公益林专题监测系统，实现省、市、县、镇四级用户的分级管理。将</w:t>
      </w:r>
      <w:r>
        <w:rPr>
          <w:rFonts w:hint="eastAsia" w:ascii="仿宋_GB2312" w:hAnsi="仿宋_GB2312" w:eastAsia="仿宋_GB2312" w:cs="仿宋_GB2312"/>
          <w:color w:val="auto"/>
          <w:sz w:val="32"/>
          <w:szCs w:val="32"/>
        </w:rPr>
        <w:t>全省公益林范围和补偿资金管理、森林监管、在线巡护等管理管护信息真正精准落实到山头地块，实现“线上”办理公益林调整、资金分配方案编制、资金发放进度监督管理。</w:t>
      </w:r>
      <w:r>
        <w:rPr>
          <w:rFonts w:hint="eastAsia" w:ascii="仿宋_GB2312" w:hAnsi="仿宋_GB2312" w:eastAsia="仿宋_GB2312" w:cs="仿宋_GB2312"/>
          <w:b/>
          <w:color w:val="auto"/>
          <w:sz w:val="32"/>
          <w:szCs w:val="32"/>
        </w:rPr>
        <w:t>四是</w:t>
      </w:r>
      <w:r>
        <w:rPr>
          <w:rFonts w:hint="eastAsia" w:ascii="仿宋_GB2312" w:hAnsi="仿宋_GB2312" w:eastAsia="仿宋_GB2312" w:cs="仿宋_GB2312"/>
          <w:color w:val="auto"/>
          <w:kern w:val="2"/>
          <w:sz w:val="32"/>
          <w:szCs w:val="32"/>
          <w:lang w:bidi="ar"/>
        </w:rPr>
        <w:t>建立健全公益林和天然林保护管理制度体系，</w:t>
      </w:r>
      <w:r>
        <w:rPr>
          <w:rFonts w:hint="eastAsia" w:ascii="仿宋_GB2312" w:hAnsi="仿宋_GB2312" w:eastAsia="仿宋_GB2312" w:cs="仿宋_GB2312"/>
          <w:bCs/>
          <w:color w:val="auto"/>
          <w:kern w:val="2"/>
          <w:sz w:val="32"/>
          <w:szCs w:val="32"/>
          <w:lang w:bidi="ar"/>
        </w:rPr>
        <w:t>进一步完善公益林差异化补偿政策</w:t>
      </w:r>
      <w:r>
        <w:rPr>
          <w:rFonts w:hint="eastAsia" w:ascii="仿宋_GB2312" w:hAnsi="仿宋_GB2312" w:eastAsia="仿宋_GB2312" w:cs="仿宋_GB2312"/>
          <w:color w:val="auto"/>
          <w:kern w:val="2"/>
          <w:sz w:val="32"/>
          <w:szCs w:val="32"/>
          <w:lang w:bidi="ar"/>
        </w:rPr>
        <w:t>，</w:t>
      </w:r>
      <w:r>
        <w:rPr>
          <w:rFonts w:hint="eastAsia" w:ascii="仿宋_GB2312" w:hAnsi="仿宋_GB2312" w:eastAsia="仿宋_GB2312" w:cs="仿宋_GB2312"/>
          <w:bCs/>
          <w:color w:val="auto"/>
          <w:kern w:val="2"/>
          <w:sz w:val="32"/>
          <w:szCs w:val="32"/>
          <w:lang w:bidi="ar"/>
        </w:rPr>
        <w:t>健全公益林补偿标准动态调整机制。加强衔接，进一步规范公益林和天然林保护管理，探索建立天然林生态补偿制度，通过制度体系建设，提高公益林管理的规范性与科学性。</w:t>
      </w:r>
      <w:bookmarkStart w:id="21" w:name="_GoBack"/>
      <w:bookmarkEnd w:id="21"/>
    </w:p>
    <w:p>
      <w:pPr>
        <w:keepNext w:val="0"/>
        <w:keepLines w:val="0"/>
        <w:widowControl w:val="0"/>
        <w:suppressLineNumbers w:val="0"/>
        <w:kinsoku w:val="0"/>
        <w:autoSpaceDE w:val="0"/>
        <w:autoSpaceDN/>
        <w:snapToGrid w:val="0"/>
        <w:spacing w:before="313" w:beforeAutospacing="0" w:after="0" w:afterAutospacing="0" w:line="360" w:lineRule="auto"/>
        <w:ind w:left="0" w:right="0" w:firstLine="640" w:firstLineChars="200"/>
        <w:jc w:val="both"/>
      </w:pPr>
      <w:r>
        <w:rPr>
          <w:rFonts w:hint="eastAsia" w:ascii="仿宋_GB2312" w:hAnsi="仿宋_GB2312" w:eastAsia="仿宋_GB2312" w:cs="仿宋_GB2312"/>
          <w:kern w:val="2"/>
          <w:sz w:val="32"/>
          <w:szCs w:val="32"/>
          <w:lang w:val="en-US" w:eastAsia="zh-CN" w:bidi="ar"/>
        </w:rPr>
        <w:t>附件：项目绩效自评指标评分表</w:t>
      </w:r>
    </w:p>
    <w:p>
      <w:pPr>
        <w:kinsoku/>
        <w:autoSpaceDE/>
        <w:autoSpaceDN/>
        <w:adjustRightInd/>
        <w:snapToGrid/>
        <w:spacing w:line="360" w:lineRule="auto"/>
        <w:textAlignment w:val="auto"/>
        <w:rPr>
          <w:rFonts w:ascii="Times New Roman" w:hAnsi="Times New Roman" w:eastAsia="仿宋" w:cs="Times New Roman"/>
          <w:spacing w:val="-15"/>
          <w:w w:val="97"/>
          <w:position w:val="22"/>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YzliNWNiYzQ3ZjFkZGY4Y2FhN2VjMDk1NjJiMjEifQ=="/>
  </w:docVars>
  <w:rsids>
    <w:rsidRoot w:val="00A6328D"/>
    <w:rsid w:val="00005153"/>
    <w:rsid w:val="00006AC6"/>
    <w:rsid w:val="000108AD"/>
    <w:rsid w:val="00011B0F"/>
    <w:rsid w:val="0003173E"/>
    <w:rsid w:val="000332BE"/>
    <w:rsid w:val="0004040F"/>
    <w:rsid w:val="0004080C"/>
    <w:rsid w:val="0004407B"/>
    <w:rsid w:val="000505AC"/>
    <w:rsid w:val="00051979"/>
    <w:rsid w:val="00056F30"/>
    <w:rsid w:val="00066DE7"/>
    <w:rsid w:val="00067BA1"/>
    <w:rsid w:val="0007177A"/>
    <w:rsid w:val="0007315E"/>
    <w:rsid w:val="00076575"/>
    <w:rsid w:val="00083383"/>
    <w:rsid w:val="000901D3"/>
    <w:rsid w:val="00097383"/>
    <w:rsid w:val="000A769D"/>
    <w:rsid w:val="000B4093"/>
    <w:rsid w:val="000B668C"/>
    <w:rsid w:val="000C2AD6"/>
    <w:rsid w:val="000C3FDE"/>
    <w:rsid w:val="000C6599"/>
    <w:rsid w:val="000C6D8E"/>
    <w:rsid w:val="000C76BA"/>
    <w:rsid w:val="000D7313"/>
    <w:rsid w:val="000F0002"/>
    <w:rsid w:val="000F2A7A"/>
    <w:rsid w:val="000F55DA"/>
    <w:rsid w:val="00100586"/>
    <w:rsid w:val="00101EE5"/>
    <w:rsid w:val="00111000"/>
    <w:rsid w:val="00111997"/>
    <w:rsid w:val="00117341"/>
    <w:rsid w:val="00120D5D"/>
    <w:rsid w:val="00121784"/>
    <w:rsid w:val="0012178D"/>
    <w:rsid w:val="0012605E"/>
    <w:rsid w:val="00130446"/>
    <w:rsid w:val="0013589A"/>
    <w:rsid w:val="0013622C"/>
    <w:rsid w:val="00137610"/>
    <w:rsid w:val="001421BC"/>
    <w:rsid w:val="00142756"/>
    <w:rsid w:val="00150C5A"/>
    <w:rsid w:val="0015229B"/>
    <w:rsid w:val="00153BAB"/>
    <w:rsid w:val="001556D1"/>
    <w:rsid w:val="00156E28"/>
    <w:rsid w:val="00161C20"/>
    <w:rsid w:val="001705BB"/>
    <w:rsid w:val="001709F7"/>
    <w:rsid w:val="00173332"/>
    <w:rsid w:val="00180BEA"/>
    <w:rsid w:val="00181559"/>
    <w:rsid w:val="001938DE"/>
    <w:rsid w:val="00196EFD"/>
    <w:rsid w:val="001A4A55"/>
    <w:rsid w:val="001B364B"/>
    <w:rsid w:val="001B3C0B"/>
    <w:rsid w:val="001C1FFE"/>
    <w:rsid w:val="001C4072"/>
    <w:rsid w:val="001D5C39"/>
    <w:rsid w:val="001E25FA"/>
    <w:rsid w:val="001F1C6E"/>
    <w:rsid w:val="001F7277"/>
    <w:rsid w:val="001F7BF4"/>
    <w:rsid w:val="00206E39"/>
    <w:rsid w:val="002166B1"/>
    <w:rsid w:val="00224AB3"/>
    <w:rsid w:val="00245FCC"/>
    <w:rsid w:val="002544F9"/>
    <w:rsid w:val="00256DA9"/>
    <w:rsid w:val="0025753E"/>
    <w:rsid w:val="00262A64"/>
    <w:rsid w:val="00265906"/>
    <w:rsid w:val="002814E0"/>
    <w:rsid w:val="00283070"/>
    <w:rsid w:val="00284B33"/>
    <w:rsid w:val="002859C3"/>
    <w:rsid w:val="0029153B"/>
    <w:rsid w:val="0029257C"/>
    <w:rsid w:val="002B134F"/>
    <w:rsid w:val="002B5D86"/>
    <w:rsid w:val="002C0706"/>
    <w:rsid w:val="002C1FC0"/>
    <w:rsid w:val="002C33B1"/>
    <w:rsid w:val="002C60E0"/>
    <w:rsid w:val="002C74B9"/>
    <w:rsid w:val="002D3144"/>
    <w:rsid w:val="002E42ED"/>
    <w:rsid w:val="002E43CE"/>
    <w:rsid w:val="002F60BA"/>
    <w:rsid w:val="0030230D"/>
    <w:rsid w:val="0030326B"/>
    <w:rsid w:val="00303289"/>
    <w:rsid w:val="0030527A"/>
    <w:rsid w:val="00316700"/>
    <w:rsid w:val="003237AD"/>
    <w:rsid w:val="00323C2B"/>
    <w:rsid w:val="00326337"/>
    <w:rsid w:val="00341678"/>
    <w:rsid w:val="00341DA2"/>
    <w:rsid w:val="00353DAD"/>
    <w:rsid w:val="0035608E"/>
    <w:rsid w:val="0035663B"/>
    <w:rsid w:val="00364257"/>
    <w:rsid w:val="0036439F"/>
    <w:rsid w:val="00365DD5"/>
    <w:rsid w:val="0037236F"/>
    <w:rsid w:val="00373B7C"/>
    <w:rsid w:val="003759A8"/>
    <w:rsid w:val="00382848"/>
    <w:rsid w:val="003876BF"/>
    <w:rsid w:val="003908E8"/>
    <w:rsid w:val="00391456"/>
    <w:rsid w:val="003953FF"/>
    <w:rsid w:val="003A0A28"/>
    <w:rsid w:val="003A4BA4"/>
    <w:rsid w:val="003B26C2"/>
    <w:rsid w:val="003B382D"/>
    <w:rsid w:val="003B6D5D"/>
    <w:rsid w:val="003B7E5A"/>
    <w:rsid w:val="003C0B98"/>
    <w:rsid w:val="003C62F3"/>
    <w:rsid w:val="003D62CB"/>
    <w:rsid w:val="003D7499"/>
    <w:rsid w:val="003E024E"/>
    <w:rsid w:val="003E2F86"/>
    <w:rsid w:val="003E36B8"/>
    <w:rsid w:val="003F65E5"/>
    <w:rsid w:val="003F7008"/>
    <w:rsid w:val="0040079C"/>
    <w:rsid w:val="00400E66"/>
    <w:rsid w:val="004109F4"/>
    <w:rsid w:val="0042030A"/>
    <w:rsid w:val="0042335D"/>
    <w:rsid w:val="00424823"/>
    <w:rsid w:val="00432E6B"/>
    <w:rsid w:val="00443F22"/>
    <w:rsid w:val="004459A5"/>
    <w:rsid w:val="004472CE"/>
    <w:rsid w:val="00447850"/>
    <w:rsid w:val="004512C6"/>
    <w:rsid w:val="0045789F"/>
    <w:rsid w:val="00464CCF"/>
    <w:rsid w:val="004667E8"/>
    <w:rsid w:val="00467CC5"/>
    <w:rsid w:val="00470E5C"/>
    <w:rsid w:val="00480298"/>
    <w:rsid w:val="00481129"/>
    <w:rsid w:val="00481A39"/>
    <w:rsid w:val="00486EF4"/>
    <w:rsid w:val="004A44B5"/>
    <w:rsid w:val="004B72C5"/>
    <w:rsid w:val="004C04B3"/>
    <w:rsid w:val="004C2EEA"/>
    <w:rsid w:val="004C5E6D"/>
    <w:rsid w:val="004D4C44"/>
    <w:rsid w:val="004D7F1F"/>
    <w:rsid w:val="004F4F03"/>
    <w:rsid w:val="004F706F"/>
    <w:rsid w:val="0050638E"/>
    <w:rsid w:val="00506B0A"/>
    <w:rsid w:val="0050756D"/>
    <w:rsid w:val="00507CAB"/>
    <w:rsid w:val="00515250"/>
    <w:rsid w:val="00522283"/>
    <w:rsid w:val="005233BC"/>
    <w:rsid w:val="00524E34"/>
    <w:rsid w:val="00527479"/>
    <w:rsid w:val="00527E92"/>
    <w:rsid w:val="005355AA"/>
    <w:rsid w:val="0053694C"/>
    <w:rsid w:val="00545FDB"/>
    <w:rsid w:val="005520C4"/>
    <w:rsid w:val="0055324A"/>
    <w:rsid w:val="00557F94"/>
    <w:rsid w:val="00562148"/>
    <w:rsid w:val="00563F43"/>
    <w:rsid w:val="0057226B"/>
    <w:rsid w:val="00573957"/>
    <w:rsid w:val="00575B6F"/>
    <w:rsid w:val="00591269"/>
    <w:rsid w:val="005932B8"/>
    <w:rsid w:val="00595F24"/>
    <w:rsid w:val="005A1F6F"/>
    <w:rsid w:val="005A69E7"/>
    <w:rsid w:val="005A7600"/>
    <w:rsid w:val="005B046F"/>
    <w:rsid w:val="005B308E"/>
    <w:rsid w:val="005B4635"/>
    <w:rsid w:val="005C2F33"/>
    <w:rsid w:val="005C52CB"/>
    <w:rsid w:val="005C695F"/>
    <w:rsid w:val="005D4869"/>
    <w:rsid w:val="005E43EE"/>
    <w:rsid w:val="005E5BB8"/>
    <w:rsid w:val="005E7A05"/>
    <w:rsid w:val="005F3365"/>
    <w:rsid w:val="005F6229"/>
    <w:rsid w:val="0060044C"/>
    <w:rsid w:val="00602A39"/>
    <w:rsid w:val="0060652D"/>
    <w:rsid w:val="006068D7"/>
    <w:rsid w:val="00606F04"/>
    <w:rsid w:val="00622EF5"/>
    <w:rsid w:val="00623795"/>
    <w:rsid w:val="0062608A"/>
    <w:rsid w:val="00633CD7"/>
    <w:rsid w:val="00633D43"/>
    <w:rsid w:val="00636143"/>
    <w:rsid w:val="00642E73"/>
    <w:rsid w:val="0064773A"/>
    <w:rsid w:val="00654899"/>
    <w:rsid w:val="006617A0"/>
    <w:rsid w:val="00662ECF"/>
    <w:rsid w:val="00666685"/>
    <w:rsid w:val="006729C9"/>
    <w:rsid w:val="00677F98"/>
    <w:rsid w:val="00696058"/>
    <w:rsid w:val="006A56BA"/>
    <w:rsid w:val="006A5E17"/>
    <w:rsid w:val="006B0E01"/>
    <w:rsid w:val="006B2F15"/>
    <w:rsid w:val="006B602B"/>
    <w:rsid w:val="006B6952"/>
    <w:rsid w:val="006B761F"/>
    <w:rsid w:val="006C1446"/>
    <w:rsid w:val="006D52B1"/>
    <w:rsid w:val="006D6E9A"/>
    <w:rsid w:val="006F02F6"/>
    <w:rsid w:val="006F218D"/>
    <w:rsid w:val="006F4FC5"/>
    <w:rsid w:val="0070004C"/>
    <w:rsid w:val="007022A8"/>
    <w:rsid w:val="00702C9B"/>
    <w:rsid w:val="00706E13"/>
    <w:rsid w:val="00710F2F"/>
    <w:rsid w:val="0071232A"/>
    <w:rsid w:val="00722785"/>
    <w:rsid w:val="0073210E"/>
    <w:rsid w:val="0073650D"/>
    <w:rsid w:val="007566DF"/>
    <w:rsid w:val="00760DE0"/>
    <w:rsid w:val="00764E57"/>
    <w:rsid w:val="00776973"/>
    <w:rsid w:val="0077729A"/>
    <w:rsid w:val="00780BFE"/>
    <w:rsid w:val="0078397E"/>
    <w:rsid w:val="00785B20"/>
    <w:rsid w:val="00787DE9"/>
    <w:rsid w:val="007A0BC7"/>
    <w:rsid w:val="007A0CE4"/>
    <w:rsid w:val="007A0D2B"/>
    <w:rsid w:val="007B1A49"/>
    <w:rsid w:val="007B1C6E"/>
    <w:rsid w:val="007B2CE4"/>
    <w:rsid w:val="007B459B"/>
    <w:rsid w:val="007B4B15"/>
    <w:rsid w:val="007C1742"/>
    <w:rsid w:val="007C3C39"/>
    <w:rsid w:val="007C7B14"/>
    <w:rsid w:val="007D09B2"/>
    <w:rsid w:val="007E3396"/>
    <w:rsid w:val="007F0360"/>
    <w:rsid w:val="007F20F1"/>
    <w:rsid w:val="007F2D42"/>
    <w:rsid w:val="007F41EB"/>
    <w:rsid w:val="008024C2"/>
    <w:rsid w:val="0080265E"/>
    <w:rsid w:val="00803B31"/>
    <w:rsid w:val="0080603C"/>
    <w:rsid w:val="00810924"/>
    <w:rsid w:val="00811439"/>
    <w:rsid w:val="008122B2"/>
    <w:rsid w:val="00820096"/>
    <w:rsid w:val="008235B5"/>
    <w:rsid w:val="00830160"/>
    <w:rsid w:val="00830673"/>
    <w:rsid w:val="00833511"/>
    <w:rsid w:val="00840553"/>
    <w:rsid w:val="00840E6A"/>
    <w:rsid w:val="00842E60"/>
    <w:rsid w:val="008533DE"/>
    <w:rsid w:val="00853956"/>
    <w:rsid w:val="008544A7"/>
    <w:rsid w:val="00857DF8"/>
    <w:rsid w:val="00857E18"/>
    <w:rsid w:val="00863233"/>
    <w:rsid w:val="00866170"/>
    <w:rsid w:val="00894E81"/>
    <w:rsid w:val="00895569"/>
    <w:rsid w:val="008A36EC"/>
    <w:rsid w:val="008A59D1"/>
    <w:rsid w:val="008A62E5"/>
    <w:rsid w:val="008A7A6D"/>
    <w:rsid w:val="008B1633"/>
    <w:rsid w:val="008B19E2"/>
    <w:rsid w:val="008B7C10"/>
    <w:rsid w:val="008C2E13"/>
    <w:rsid w:val="008C42A7"/>
    <w:rsid w:val="008C6AE2"/>
    <w:rsid w:val="008C6DFB"/>
    <w:rsid w:val="008D242B"/>
    <w:rsid w:val="008D73AF"/>
    <w:rsid w:val="008E165B"/>
    <w:rsid w:val="008E1E96"/>
    <w:rsid w:val="008E2433"/>
    <w:rsid w:val="008E4CF5"/>
    <w:rsid w:val="008F5A2F"/>
    <w:rsid w:val="009022F9"/>
    <w:rsid w:val="00905533"/>
    <w:rsid w:val="00906688"/>
    <w:rsid w:val="00911DF1"/>
    <w:rsid w:val="009215F3"/>
    <w:rsid w:val="009274DA"/>
    <w:rsid w:val="00927872"/>
    <w:rsid w:val="00932BE6"/>
    <w:rsid w:val="00934B78"/>
    <w:rsid w:val="0094320B"/>
    <w:rsid w:val="00944BCA"/>
    <w:rsid w:val="00952C04"/>
    <w:rsid w:val="00956918"/>
    <w:rsid w:val="00956AF7"/>
    <w:rsid w:val="00960BBE"/>
    <w:rsid w:val="009615A1"/>
    <w:rsid w:val="00963D94"/>
    <w:rsid w:val="00964D83"/>
    <w:rsid w:val="00966667"/>
    <w:rsid w:val="00966734"/>
    <w:rsid w:val="00982A87"/>
    <w:rsid w:val="009859F6"/>
    <w:rsid w:val="009A14CE"/>
    <w:rsid w:val="009A388C"/>
    <w:rsid w:val="009B7243"/>
    <w:rsid w:val="009B7514"/>
    <w:rsid w:val="009C1AB1"/>
    <w:rsid w:val="009C5B90"/>
    <w:rsid w:val="009D25E6"/>
    <w:rsid w:val="009E6F15"/>
    <w:rsid w:val="009E7C41"/>
    <w:rsid w:val="009F0A57"/>
    <w:rsid w:val="009F4CF5"/>
    <w:rsid w:val="009F4EF9"/>
    <w:rsid w:val="009F6DEC"/>
    <w:rsid w:val="009F7D9F"/>
    <w:rsid w:val="00A037AA"/>
    <w:rsid w:val="00A05A7B"/>
    <w:rsid w:val="00A1434E"/>
    <w:rsid w:val="00A14F1D"/>
    <w:rsid w:val="00A226DF"/>
    <w:rsid w:val="00A26B93"/>
    <w:rsid w:val="00A26F81"/>
    <w:rsid w:val="00A31FA3"/>
    <w:rsid w:val="00A408B4"/>
    <w:rsid w:val="00A46254"/>
    <w:rsid w:val="00A50374"/>
    <w:rsid w:val="00A52069"/>
    <w:rsid w:val="00A520B7"/>
    <w:rsid w:val="00A6328D"/>
    <w:rsid w:val="00A82E0C"/>
    <w:rsid w:val="00A84F35"/>
    <w:rsid w:val="00A85A46"/>
    <w:rsid w:val="00A87499"/>
    <w:rsid w:val="00A92EED"/>
    <w:rsid w:val="00A947E8"/>
    <w:rsid w:val="00AA2073"/>
    <w:rsid w:val="00AA38F2"/>
    <w:rsid w:val="00AB459A"/>
    <w:rsid w:val="00AB719B"/>
    <w:rsid w:val="00AC6D86"/>
    <w:rsid w:val="00AD225C"/>
    <w:rsid w:val="00AD22CA"/>
    <w:rsid w:val="00AE0EFD"/>
    <w:rsid w:val="00AE19F6"/>
    <w:rsid w:val="00AE7F04"/>
    <w:rsid w:val="00AF1511"/>
    <w:rsid w:val="00AF5934"/>
    <w:rsid w:val="00AF7ABE"/>
    <w:rsid w:val="00B01428"/>
    <w:rsid w:val="00B01A95"/>
    <w:rsid w:val="00B01B79"/>
    <w:rsid w:val="00B04FBB"/>
    <w:rsid w:val="00B1117B"/>
    <w:rsid w:val="00B23D4D"/>
    <w:rsid w:val="00B30805"/>
    <w:rsid w:val="00B3744B"/>
    <w:rsid w:val="00B400BC"/>
    <w:rsid w:val="00B45238"/>
    <w:rsid w:val="00B45322"/>
    <w:rsid w:val="00B454FE"/>
    <w:rsid w:val="00B470A6"/>
    <w:rsid w:val="00B55DD9"/>
    <w:rsid w:val="00B669B6"/>
    <w:rsid w:val="00B707BC"/>
    <w:rsid w:val="00B73880"/>
    <w:rsid w:val="00B73F96"/>
    <w:rsid w:val="00B74BD7"/>
    <w:rsid w:val="00B77C2F"/>
    <w:rsid w:val="00B85AC7"/>
    <w:rsid w:val="00B860C3"/>
    <w:rsid w:val="00B91741"/>
    <w:rsid w:val="00BB0E78"/>
    <w:rsid w:val="00BB133C"/>
    <w:rsid w:val="00BB2F04"/>
    <w:rsid w:val="00BB5470"/>
    <w:rsid w:val="00BB64D7"/>
    <w:rsid w:val="00BB7080"/>
    <w:rsid w:val="00BB765B"/>
    <w:rsid w:val="00BC6426"/>
    <w:rsid w:val="00BC77D0"/>
    <w:rsid w:val="00BD4AEB"/>
    <w:rsid w:val="00BE5F5D"/>
    <w:rsid w:val="00BF335E"/>
    <w:rsid w:val="00C01770"/>
    <w:rsid w:val="00C14BD3"/>
    <w:rsid w:val="00C237FE"/>
    <w:rsid w:val="00C24BD1"/>
    <w:rsid w:val="00C33AC5"/>
    <w:rsid w:val="00C33E5F"/>
    <w:rsid w:val="00C34AB0"/>
    <w:rsid w:val="00C43262"/>
    <w:rsid w:val="00C44E0A"/>
    <w:rsid w:val="00C46AF8"/>
    <w:rsid w:val="00C479A1"/>
    <w:rsid w:val="00C50321"/>
    <w:rsid w:val="00C54FE2"/>
    <w:rsid w:val="00C6017E"/>
    <w:rsid w:val="00C64014"/>
    <w:rsid w:val="00C6498C"/>
    <w:rsid w:val="00C65672"/>
    <w:rsid w:val="00C66CF9"/>
    <w:rsid w:val="00C74017"/>
    <w:rsid w:val="00C748A4"/>
    <w:rsid w:val="00C83221"/>
    <w:rsid w:val="00C91854"/>
    <w:rsid w:val="00C978C1"/>
    <w:rsid w:val="00CA1EEF"/>
    <w:rsid w:val="00CA1F09"/>
    <w:rsid w:val="00CA4B22"/>
    <w:rsid w:val="00CC7CA9"/>
    <w:rsid w:val="00CD0CB0"/>
    <w:rsid w:val="00CD11D2"/>
    <w:rsid w:val="00CD6DE4"/>
    <w:rsid w:val="00CE32A1"/>
    <w:rsid w:val="00CF0DF0"/>
    <w:rsid w:val="00CF25B5"/>
    <w:rsid w:val="00CF2D53"/>
    <w:rsid w:val="00CF468D"/>
    <w:rsid w:val="00CF5591"/>
    <w:rsid w:val="00D01F83"/>
    <w:rsid w:val="00D0322B"/>
    <w:rsid w:val="00D032B1"/>
    <w:rsid w:val="00D07E57"/>
    <w:rsid w:val="00D177F1"/>
    <w:rsid w:val="00D21705"/>
    <w:rsid w:val="00D22DFC"/>
    <w:rsid w:val="00D3193A"/>
    <w:rsid w:val="00D34A70"/>
    <w:rsid w:val="00D36552"/>
    <w:rsid w:val="00D428A3"/>
    <w:rsid w:val="00D42E45"/>
    <w:rsid w:val="00D43C1D"/>
    <w:rsid w:val="00D50909"/>
    <w:rsid w:val="00D529EA"/>
    <w:rsid w:val="00D60CF5"/>
    <w:rsid w:val="00D63725"/>
    <w:rsid w:val="00D71AC5"/>
    <w:rsid w:val="00D724BC"/>
    <w:rsid w:val="00D80BD9"/>
    <w:rsid w:val="00DA3711"/>
    <w:rsid w:val="00DA470D"/>
    <w:rsid w:val="00DB0D4F"/>
    <w:rsid w:val="00DB4BAC"/>
    <w:rsid w:val="00DC61E9"/>
    <w:rsid w:val="00DD4173"/>
    <w:rsid w:val="00DE3516"/>
    <w:rsid w:val="00E006C4"/>
    <w:rsid w:val="00E0128B"/>
    <w:rsid w:val="00E04D93"/>
    <w:rsid w:val="00E13E2A"/>
    <w:rsid w:val="00E17230"/>
    <w:rsid w:val="00E213AD"/>
    <w:rsid w:val="00E251E1"/>
    <w:rsid w:val="00E272DA"/>
    <w:rsid w:val="00E34955"/>
    <w:rsid w:val="00E37159"/>
    <w:rsid w:val="00E421B7"/>
    <w:rsid w:val="00E42F27"/>
    <w:rsid w:val="00E43646"/>
    <w:rsid w:val="00E5089E"/>
    <w:rsid w:val="00E51150"/>
    <w:rsid w:val="00E61CA8"/>
    <w:rsid w:val="00E62024"/>
    <w:rsid w:val="00E700F9"/>
    <w:rsid w:val="00E74C95"/>
    <w:rsid w:val="00E81AFD"/>
    <w:rsid w:val="00E92117"/>
    <w:rsid w:val="00E954CA"/>
    <w:rsid w:val="00E96853"/>
    <w:rsid w:val="00EA08BF"/>
    <w:rsid w:val="00EA0C09"/>
    <w:rsid w:val="00EB2835"/>
    <w:rsid w:val="00EB5D09"/>
    <w:rsid w:val="00EC23C7"/>
    <w:rsid w:val="00EC2F4F"/>
    <w:rsid w:val="00EC3944"/>
    <w:rsid w:val="00EC7557"/>
    <w:rsid w:val="00ED0D86"/>
    <w:rsid w:val="00ED3A0F"/>
    <w:rsid w:val="00ED3DBA"/>
    <w:rsid w:val="00EE4104"/>
    <w:rsid w:val="00EE55E1"/>
    <w:rsid w:val="00EE5CCC"/>
    <w:rsid w:val="00EF1DB7"/>
    <w:rsid w:val="00EF4980"/>
    <w:rsid w:val="00EF54A7"/>
    <w:rsid w:val="00F104DE"/>
    <w:rsid w:val="00F10534"/>
    <w:rsid w:val="00F12478"/>
    <w:rsid w:val="00F16927"/>
    <w:rsid w:val="00F320E7"/>
    <w:rsid w:val="00F37E0C"/>
    <w:rsid w:val="00F417B6"/>
    <w:rsid w:val="00F438FC"/>
    <w:rsid w:val="00F44B79"/>
    <w:rsid w:val="00F6648E"/>
    <w:rsid w:val="00F6685E"/>
    <w:rsid w:val="00F72AB9"/>
    <w:rsid w:val="00F72D5D"/>
    <w:rsid w:val="00F86745"/>
    <w:rsid w:val="00F94190"/>
    <w:rsid w:val="00F95C01"/>
    <w:rsid w:val="00F975CC"/>
    <w:rsid w:val="00FA01A5"/>
    <w:rsid w:val="00FA0FEA"/>
    <w:rsid w:val="00FA32B6"/>
    <w:rsid w:val="00FA3A39"/>
    <w:rsid w:val="00FB4FE1"/>
    <w:rsid w:val="00FB5585"/>
    <w:rsid w:val="00FC0BCD"/>
    <w:rsid w:val="00FC36CD"/>
    <w:rsid w:val="00FD1185"/>
    <w:rsid w:val="00FE05C5"/>
    <w:rsid w:val="00FE09EF"/>
    <w:rsid w:val="00FF29FB"/>
    <w:rsid w:val="00FF4C83"/>
    <w:rsid w:val="030F4424"/>
    <w:rsid w:val="0327179E"/>
    <w:rsid w:val="054232AE"/>
    <w:rsid w:val="0B037EBC"/>
    <w:rsid w:val="0B385E47"/>
    <w:rsid w:val="0FC93A62"/>
    <w:rsid w:val="120059C8"/>
    <w:rsid w:val="133300BC"/>
    <w:rsid w:val="135A4AC7"/>
    <w:rsid w:val="144C0E46"/>
    <w:rsid w:val="14EA5216"/>
    <w:rsid w:val="19DC3A15"/>
    <w:rsid w:val="1DBA2BD9"/>
    <w:rsid w:val="1E28404A"/>
    <w:rsid w:val="20C64912"/>
    <w:rsid w:val="244E1304"/>
    <w:rsid w:val="2EFF3E19"/>
    <w:rsid w:val="2FAB0637"/>
    <w:rsid w:val="32193721"/>
    <w:rsid w:val="36600E43"/>
    <w:rsid w:val="36FC71A1"/>
    <w:rsid w:val="3BE11F05"/>
    <w:rsid w:val="3E0C52B0"/>
    <w:rsid w:val="3F7C78A7"/>
    <w:rsid w:val="45F95458"/>
    <w:rsid w:val="4A205AFF"/>
    <w:rsid w:val="4F1B15BA"/>
    <w:rsid w:val="54A86188"/>
    <w:rsid w:val="566B1E65"/>
    <w:rsid w:val="580559CA"/>
    <w:rsid w:val="5AE34EDF"/>
    <w:rsid w:val="5E561D0F"/>
    <w:rsid w:val="63F40A74"/>
    <w:rsid w:val="657D1B52"/>
    <w:rsid w:val="66464BBD"/>
    <w:rsid w:val="667D4EC4"/>
    <w:rsid w:val="67143969"/>
    <w:rsid w:val="677A36C7"/>
    <w:rsid w:val="68187150"/>
    <w:rsid w:val="695B45C3"/>
    <w:rsid w:val="696B5488"/>
    <w:rsid w:val="698A4163"/>
    <w:rsid w:val="6CE577B7"/>
    <w:rsid w:val="6E2E7E8E"/>
    <w:rsid w:val="71351E8D"/>
    <w:rsid w:val="71AE79B7"/>
    <w:rsid w:val="720B6182"/>
    <w:rsid w:val="723E78E7"/>
    <w:rsid w:val="72CD3B5B"/>
    <w:rsid w:val="77B5517C"/>
    <w:rsid w:val="77F55EF5"/>
    <w:rsid w:val="7BC94F7F"/>
    <w:rsid w:val="7C367925"/>
    <w:rsid w:val="7D4312E9"/>
    <w:rsid w:val="7D437197"/>
    <w:rsid w:val="7EC7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22"/>
    <w:qFormat/>
    <w:uiPriority w:val="9"/>
    <w:pPr>
      <w:keepNext/>
      <w:keepLines/>
      <w:spacing w:line="600" w:lineRule="exact"/>
      <w:jc w:val="both"/>
      <w:outlineLvl w:val="0"/>
    </w:pPr>
    <w:rPr>
      <w:rFonts w:ascii="黑体" w:eastAsia="黑体"/>
      <w:bCs/>
      <w:kern w:val="44"/>
      <w:sz w:val="32"/>
      <w:szCs w:val="44"/>
    </w:rPr>
  </w:style>
  <w:style w:type="paragraph" w:styleId="4">
    <w:name w:val="heading 2"/>
    <w:basedOn w:val="1"/>
    <w:next w:val="1"/>
    <w:link w:val="23"/>
    <w:unhideWhenUsed/>
    <w:qFormat/>
    <w:uiPriority w:val="9"/>
    <w:pPr>
      <w:keepNext/>
      <w:keepLines/>
      <w:spacing w:line="600" w:lineRule="exact"/>
      <w:ind w:firstLine="200" w:firstLineChars="200"/>
      <w:jc w:val="both"/>
      <w:outlineLvl w:val="1"/>
    </w:pPr>
    <w:rPr>
      <w:rFonts w:ascii="楷体" w:eastAsia="楷体" w:cs="Times New Roman"/>
      <w:bCs/>
      <w:sz w:val="32"/>
      <w:szCs w:val="32"/>
    </w:rPr>
  </w:style>
  <w:style w:type="paragraph" w:styleId="5">
    <w:name w:val="heading 3"/>
    <w:basedOn w:val="1"/>
    <w:next w:val="1"/>
    <w:link w:val="24"/>
    <w:unhideWhenUsed/>
    <w:qFormat/>
    <w:uiPriority w:val="9"/>
    <w:pPr>
      <w:keepNext/>
      <w:keepLines/>
      <w:spacing w:line="600" w:lineRule="exact"/>
      <w:ind w:firstLine="200" w:firstLineChars="200"/>
      <w:jc w:val="both"/>
      <w:outlineLvl w:val="2"/>
    </w:pPr>
    <w:rPr>
      <w:rFonts w:ascii="仿宋" w:eastAsia="仿宋"/>
      <w:b/>
      <w:bCs/>
      <w:sz w:val="32"/>
      <w:szCs w:val="32"/>
    </w:rPr>
  </w:style>
  <w:style w:type="paragraph" w:styleId="6">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等线" w:hAnsi="等线" w:eastAsia="等线" w:cs="Times New Roman"/>
      <w:szCs w:val="24"/>
    </w:rPr>
  </w:style>
  <w:style w:type="paragraph" w:styleId="7">
    <w:name w:val="annotation text"/>
    <w:basedOn w:val="1"/>
    <w:link w:val="31"/>
    <w:qFormat/>
    <w:uiPriority w:val="0"/>
    <w:pPr>
      <w:widowControl w:val="0"/>
      <w:kinsoku/>
      <w:autoSpaceDE/>
      <w:autoSpaceDN/>
      <w:adjustRightInd/>
      <w:snapToGrid/>
      <w:spacing w:line="360" w:lineRule="auto"/>
      <w:ind w:firstLine="200" w:firstLineChars="200"/>
      <w:textAlignment w:val="auto"/>
    </w:pPr>
    <w:rPr>
      <w:rFonts w:ascii="仿宋_GB2312" w:hAnsi="仿宋_GB2312" w:eastAsia="仿宋_GB2312" w:cs="Times New Roman"/>
      <w:snapToGrid/>
      <w:color w:val="auto"/>
      <w:kern w:val="2"/>
      <w:sz w:val="32"/>
      <w:szCs w:val="24"/>
    </w:rPr>
  </w:style>
  <w:style w:type="paragraph" w:styleId="8">
    <w:name w:val="Body Text"/>
    <w:basedOn w:val="1"/>
    <w:link w:val="25"/>
    <w:qFormat/>
    <w:uiPriority w:val="0"/>
    <w:pPr>
      <w:widowControl w:val="0"/>
      <w:kinsoku/>
      <w:autoSpaceDE/>
      <w:autoSpaceDN/>
      <w:adjustRightInd/>
      <w:snapToGrid/>
      <w:spacing w:after="120"/>
      <w:jc w:val="both"/>
      <w:textAlignment w:val="auto"/>
    </w:pPr>
    <w:rPr>
      <w:rFonts w:ascii="Times New Roman" w:hAnsi="Times New Roman" w:eastAsia="宋体" w:cs="Times New Roman"/>
      <w:snapToGrid/>
      <w:color w:val="auto"/>
      <w:kern w:val="2"/>
      <w:szCs w:val="24"/>
    </w:rPr>
  </w:style>
  <w:style w:type="paragraph" w:styleId="9">
    <w:name w:val="Body Text Indent"/>
    <w:basedOn w:val="1"/>
    <w:next w:val="1"/>
    <w:link w:val="26"/>
    <w:semiHidden/>
    <w:unhideWhenUsed/>
    <w:qFormat/>
    <w:uiPriority w:val="99"/>
    <w:pPr>
      <w:spacing w:after="120"/>
      <w:ind w:left="420" w:leftChars="200"/>
    </w:pPr>
  </w:style>
  <w:style w:type="paragraph" w:styleId="10">
    <w:name w:val="Balloon Text"/>
    <w:basedOn w:val="1"/>
    <w:link w:val="33"/>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13">
    <w:name w:val="Title"/>
    <w:basedOn w:val="1"/>
    <w:next w:val="1"/>
    <w:link w:val="27"/>
    <w:qFormat/>
    <w:uiPriority w:val="0"/>
    <w:pPr>
      <w:widowControl w:val="0"/>
      <w:kinsoku/>
      <w:autoSpaceDE/>
      <w:autoSpaceDN/>
      <w:adjustRightInd/>
      <w:snapToGrid/>
      <w:textAlignment w:val="auto"/>
      <w:outlineLvl w:val="0"/>
    </w:pPr>
    <w:rPr>
      <w:rFonts w:ascii="Times New Roman" w:hAnsi="Times New Roman" w:eastAsia="楷体_GB2312" w:cs="Times New Roman"/>
      <w:bCs/>
      <w:snapToGrid/>
      <w:color w:val="auto"/>
      <w:kern w:val="2"/>
      <w:sz w:val="32"/>
      <w:szCs w:val="32"/>
    </w:rPr>
  </w:style>
  <w:style w:type="paragraph" w:styleId="14">
    <w:name w:val="annotation subject"/>
    <w:basedOn w:val="7"/>
    <w:next w:val="7"/>
    <w:link w:val="37"/>
    <w:semiHidden/>
    <w:unhideWhenUsed/>
    <w:qFormat/>
    <w:uiPriority w:val="99"/>
    <w:pPr>
      <w:widowControl/>
      <w:kinsoku w:val="0"/>
      <w:autoSpaceDE w:val="0"/>
      <w:autoSpaceDN w:val="0"/>
      <w:adjustRightInd w:val="0"/>
      <w:snapToGrid w:val="0"/>
      <w:spacing w:line="240" w:lineRule="auto"/>
      <w:ind w:firstLine="0" w:firstLineChars="0"/>
      <w:textAlignment w:val="baseline"/>
    </w:pPr>
    <w:rPr>
      <w:rFonts w:ascii="Arial" w:hAnsi="Arial" w:eastAsia="Arial" w:cs="Arial"/>
      <w:b/>
      <w:bCs/>
      <w:snapToGrid w:val="0"/>
      <w:color w:val="000000"/>
      <w:kern w:val="0"/>
      <w:sz w:val="21"/>
      <w:szCs w:val="21"/>
    </w:rPr>
  </w:style>
  <w:style w:type="paragraph" w:styleId="15">
    <w:name w:val="Body Text First Indent 2"/>
    <w:basedOn w:val="9"/>
    <w:next w:val="1"/>
    <w:qFormat/>
    <w:uiPriority w:val="99"/>
    <w:pPr>
      <w:spacing w:line="360" w:lineRule="auto"/>
      <w:ind w:firstLine="420" w:firstLineChars="200"/>
    </w:pPr>
    <w:rPr>
      <w:rFonts w:ascii="仿宋_GB2312" w:hAnsi="仿宋_GB2312" w:eastAsia="仿宋_GB2312"/>
      <w:sz w:val="32"/>
    </w:rPr>
  </w:style>
  <w:style w:type="character" w:styleId="18">
    <w:name w:val="annotation reference"/>
    <w:basedOn w:val="17"/>
    <w:semiHidden/>
    <w:unhideWhenUsed/>
    <w:qFormat/>
    <w:uiPriority w:val="99"/>
    <w:rPr>
      <w:sz w:val="21"/>
      <w:szCs w:val="21"/>
    </w:rPr>
  </w:style>
  <w:style w:type="paragraph" w:customStyle="1" w:styleId="19">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character" w:customStyle="1" w:styleId="20">
    <w:name w:val="页眉 字符"/>
    <w:basedOn w:val="17"/>
    <w:link w:val="12"/>
    <w:qFormat/>
    <w:uiPriority w:val="99"/>
    <w:rPr>
      <w:sz w:val="18"/>
      <w:szCs w:val="18"/>
    </w:rPr>
  </w:style>
  <w:style w:type="character" w:customStyle="1" w:styleId="21">
    <w:name w:val="页脚 字符"/>
    <w:basedOn w:val="17"/>
    <w:link w:val="11"/>
    <w:qFormat/>
    <w:uiPriority w:val="99"/>
    <w:rPr>
      <w:sz w:val="18"/>
      <w:szCs w:val="18"/>
    </w:rPr>
  </w:style>
  <w:style w:type="character" w:customStyle="1" w:styleId="22">
    <w:name w:val="标题 1 字符"/>
    <w:basedOn w:val="17"/>
    <w:link w:val="3"/>
    <w:qFormat/>
    <w:uiPriority w:val="9"/>
    <w:rPr>
      <w:rFonts w:ascii="黑体" w:hAnsi="Arial" w:eastAsia="黑体" w:cs="Arial"/>
      <w:bCs/>
      <w:snapToGrid w:val="0"/>
      <w:color w:val="000000"/>
      <w:kern w:val="44"/>
      <w:sz w:val="32"/>
      <w:szCs w:val="44"/>
    </w:rPr>
  </w:style>
  <w:style w:type="character" w:customStyle="1" w:styleId="23">
    <w:name w:val="标题 2 字符"/>
    <w:basedOn w:val="17"/>
    <w:link w:val="4"/>
    <w:qFormat/>
    <w:uiPriority w:val="9"/>
    <w:rPr>
      <w:rFonts w:ascii="楷体" w:hAnsi="Arial" w:eastAsia="楷体" w:cs="Times New Roman"/>
      <w:bCs/>
      <w:snapToGrid w:val="0"/>
      <w:color w:val="000000"/>
      <w:kern w:val="0"/>
      <w:sz w:val="32"/>
      <w:szCs w:val="32"/>
    </w:rPr>
  </w:style>
  <w:style w:type="character" w:customStyle="1" w:styleId="24">
    <w:name w:val="标题 3 字符"/>
    <w:basedOn w:val="17"/>
    <w:link w:val="5"/>
    <w:qFormat/>
    <w:uiPriority w:val="9"/>
    <w:rPr>
      <w:rFonts w:ascii="仿宋" w:hAnsi="Arial" w:eastAsia="仿宋" w:cs="Arial"/>
      <w:b/>
      <w:bCs/>
      <w:snapToGrid w:val="0"/>
      <w:color w:val="000000"/>
      <w:kern w:val="0"/>
      <w:sz w:val="32"/>
      <w:szCs w:val="32"/>
    </w:rPr>
  </w:style>
  <w:style w:type="character" w:customStyle="1" w:styleId="25">
    <w:name w:val="正文文本 字符"/>
    <w:basedOn w:val="17"/>
    <w:link w:val="8"/>
    <w:qFormat/>
    <w:uiPriority w:val="0"/>
    <w:rPr>
      <w:rFonts w:ascii="Times New Roman" w:hAnsi="Times New Roman" w:eastAsia="宋体" w:cs="Times New Roman"/>
      <w:szCs w:val="24"/>
    </w:rPr>
  </w:style>
  <w:style w:type="character" w:customStyle="1" w:styleId="26">
    <w:name w:val="正文文本缩进 字符"/>
    <w:basedOn w:val="17"/>
    <w:link w:val="9"/>
    <w:semiHidden/>
    <w:qFormat/>
    <w:uiPriority w:val="99"/>
    <w:rPr>
      <w:rFonts w:ascii="Arial" w:hAnsi="Arial" w:eastAsia="Arial" w:cs="Arial"/>
      <w:snapToGrid w:val="0"/>
      <w:color w:val="000000"/>
      <w:kern w:val="0"/>
      <w:szCs w:val="21"/>
    </w:rPr>
  </w:style>
  <w:style w:type="character" w:customStyle="1" w:styleId="27">
    <w:name w:val="标题 字符"/>
    <w:basedOn w:val="17"/>
    <w:link w:val="13"/>
    <w:qFormat/>
    <w:uiPriority w:val="0"/>
    <w:rPr>
      <w:rFonts w:ascii="Times New Roman" w:hAnsi="Times New Roman" w:eastAsia="楷体_GB2312" w:cs="Times New Roman"/>
      <w:bCs/>
      <w:sz w:val="32"/>
      <w:szCs w:val="32"/>
    </w:rPr>
  </w:style>
  <w:style w:type="character" w:customStyle="1" w:styleId="28">
    <w:name w:val="标题 字符1"/>
    <w:basedOn w:val="17"/>
    <w:qFormat/>
    <w:uiPriority w:val="10"/>
    <w:rPr>
      <w:rFonts w:asciiTheme="majorHAnsi" w:hAnsiTheme="majorHAnsi" w:eastAsiaTheme="majorEastAsia" w:cstheme="majorBidi"/>
      <w:b/>
      <w:bCs/>
      <w:snapToGrid w:val="0"/>
      <w:color w:val="000000"/>
      <w:kern w:val="0"/>
      <w:sz w:val="32"/>
      <w:szCs w:val="32"/>
    </w:rPr>
  </w:style>
  <w:style w:type="paragraph" w:customStyle="1" w:styleId="29">
    <w:name w:val="Body Text Indent1"/>
    <w:basedOn w:val="1"/>
    <w:qFormat/>
    <w:uiPriority w:val="0"/>
    <w:pPr>
      <w:widowControl w:val="0"/>
      <w:kinsoku/>
      <w:autoSpaceDE/>
      <w:autoSpaceDN/>
      <w:adjustRightInd/>
      <w:snapToGrid/>
      <w:ind w:firstLine="200" w:firstLineChars="200"/>
      <w:jc w:val="both"/>
      <w:textAlignment w:val="auto"/>
    </w:pPr>
    <w:rPr>
      <w:rFonts w:ascii="Calibri" w:hAnsi="Calibri" w:eastAsia="宋体" w:cs="Times New Roman"/>
      <w:snapToGrid/>
      <w:color w:val="auto"/>
      <w:kern w:val="2"/>
      <w:szCs w:val="22"/>
    </w:rPr>
  </w:style>
  <w:style w:type="character" w:customStyle="1" w:styleId="30">
    <w:name w:val="标题 4 字符"/>
    <w:basedOn w:val="17"/>
    <w:link w:val="6"/>
    <w:qFormat/>
    <w:uiPriority w:val="9"/>
    <w:rPr>
      <w:rFonts w:asciiTheme="majorHAnsi" w:hAnsiTheme="majorHAnsi" w:eastAsiaTheme="majorEastAsia" w:cstheme="majorBidi"/>
      <w:b/>
      <w:bCs/>
      <w:snapToGrid w:val="0"/>
      <w:color w:val="000000"/>
      <w:kern w:val="0"/>
      <w:sz w:val="28"/>
      <w:szCs w:val="28"/>
    </w:rPr>
  </w:style>
  <w:style w:type="character" w:customStyle="1" w:styleId="31">
    <w:name w:val="批注文字 字符"/>
    <w:basedOn w:val="17"/>
    <w:link w:val="7"/>
    <w:qFormat/>
    <w:uiPriority w:val="0"/>
    <w:rPr>
      <w:rFonts w:ascii="仿宋_GB2312" w:hAnsi="仿宋_GB2312" w:eastAsia="仿宋_GB2312" w:cs="Times New Roman"/>
      <w:sz w:val="32"/>
      <w:szCs w:val="24"/>
    </w:rPr>
  </w:style>
  <w:style w:type="paragraph" w:customStyle="1" w:styleId="32">
    <w:name w:val="Char Char"/>
    <w:basedOn w:val="1"/>
    <w:qFormat/>
    <w:uiPriority w:val="0"/>
    <w:pPr>
      <w:kinsoku/>
      <w:autoSpaceDE/>
      <w:autoSpaceDN/>
      <w:snapToGrid/>
      <w:spacing w:after="160" w:line="240" w:lineRule="exact"/>
      <w:ind w:firstLine="640" w:firstLineChars="200"/>
      <w:textAlignment w:val="auto"/>
    </w:pPr>
    <w:rPr>
      <w:rFonts w:ascii="Verdana" w:hAnsi="Verdana" w:eastAsia="仿宋_GB2312" w:cs="Times New Roman"/>
      <w:snapToGrid/>
      <w:color w:val="auto"/>
      <w:sz w:val="20"/>
      <w:szCs w:val="20"/>
      <w:lang w:eastAsia="en-US"/>
    </w:rPr>
  </w:style>
  <w:style w:type="character" w:customStyle="1" w:styleId="33">
    <w:name w:val="批注框文本 字符"/>
    <w:basedOn w:val="17"/>
    <w:link w:val="10"/>
    <w:semiHidden/>
    <w:qFormat/>
    <w:uiPriority w:val="99"/>
    <w:rPr>
      <w:rFonts w:ascii="Arial" w:hAnsi="Arial" w:eastAsia="Arial" w:cs="Arial"/>
      <w:snapToGrid w:val="0"/>
      <w:color w:val="000000"/>
      <w:kern w:val="0"/>
      <w:sz w:val="18"/>
      <w:szCs w:val="18"/>
    </w:rPr>
  </w:style>
  <w:style w:type="paragraph" w:styleId="34">
    <w:name w:val="List Paragraph"/>
    <w:basedOn w:val="1"/>
    <w:qFormat/>
    <w:uiPriority w:val="34"/>
    <w:pPr>
      <w:ind w:firstLine="420" w:firstLineChars="200"/>
    </w:pPr>
  </w:style>
  <w:style w:type="paragraph" w:customStyle="1" w:styleId="35">
    <w:name w:val="修订1"/>
    <w:hidden/>
    <w:unhideWhenUsed/>
    <w:qFormat/>
    <w:uiPriority w:val="99"/>
    <w:rPr>
      <w:rFonts w:ascii="Arial" w:hAnsi="Arial" w:eastAsia="Arial" w:cs="Arial"/>
      <w:snapToGrid w:val="0"/>
      <w:color w:val="000000"/>
      <w:sz w:val="21"/>
      <w:szCs w:val="21"/>
      <w:lang w:val="en-US" w:eastAsia="zh-CN" w:bidi="ar-SA"/>
    </w:rPr>
  </w:style>
  <w:style w:type="character" w:customStyle="1" w:styleId="36">
    <w:name w:val="cf01"/>
    <w:basedOn w:val="17"/>
    <w:qFormat/>
    <w:uiPriority w:val="0"/>
    <w:rPr>
      <w:rFonts w:hint="eastAsia" w:ascii="Microsoft YaHei UI" w:hAnsi="Microsoft YaHei UI" w:eastAsia="Microsoft YaHei UI"/>
      <w:sz w:val="18"/>
      <w:szCs w:val="18"/>
    </w:rPr>
  </w:style>
  <w:style w:type="character" w:customStyle="1" w:styleId="37">
    <w:name w:val="批注主题 字符"/>
    <w:basedOn w:val="31"/>
    <w:link w:val="14"/>
    <w:semiHidden/>
    <w:qFormat/>
    <w:uiPriority w:val="99"/>
    <w:rPr>
      <w:rFonts w:ascii="Arial" w:hAnsi="Arial" w:eastAsia="Arial" w:cs="Arial"/>
      <w:b/>
      <w:bCs/>
      <w:snapToGrid w:val="0"/>
      <w:color w:val="000000"/>
      <w:sz w:val="21"/>
      <w:szCs w:val="21"/>
    </w:rPr>
  </w:style>
  <w:style w:type="paragraph" w:customStyle="1" w:styleId="38">
    <w:name w:val="Char Char1"/>
    <w:basedOn w:val="1"/>
    <w:qFormat/>
    <w:uiPriority w:val="0"/>
    <w:pPr>
      <w:kinsoku/>
      <w:autoSpaceDE/>
      <w:autoSpaceDN/>
      <w:snapToGrid/>
      <w:spacing w:after="160" w:line="240" w:lineRule="exact"/>
      <w:ind w:firstLine="640" w:firstLineChars="200"/>
      <w:textAlignment w:val="auto"/>
    </w:pPr>
    <w:rPr>
      <w:rFonts w:ascii="Verdana" w:hAnsi="Verdana" w:eastAsia="仿宋_GB2312" w:cs="Times New Roman"/>
      <w:snapToGrid/>
      <w:color w:val="auto"/>
      <w:sz w:val="20"/>
      <w:szCs w:val="20"/>
      <w:lang w:eastAsia="en-US"/>
    </w:rPr>
  </w:style>
  <w:style w:type="paragraph" w:customStyle="1" w:styleId="39">
    <w:name w:val="修订2"/>
    <w:hidden/>
    <w:semiHidden/>
    <w:qFormat/>
    <w:uiPriority w:val="99"/>
    <w:rPr>
      <w:rFonts w:ascii="Arial" w:hAnsi="Arial" w:eastAsia="Arial" w:cs="Arial"/>
      <w:snapToGrid w:val="0"/>
      <w:color w:val="000000"/>
      <w:sz w:val="21"/>
      <w:szCs w:val="21"/>
      <w:lang w:val="en-US" w:eastAsia="zh-CN" w:bidi="ar-SA"/>
    </w:rPr>
  </w:style>
  <w:style w:type="paragraph" w:customStyle="1" w:styleId="40">
    <w:name w:val="Char Char2"/>
    <w:basedOn w:val="1"/>
    <w:qFormat/>
    <w:uiPriority w:val="0"/>
    <w:pPr>
      <w:kinsoku/>
      <w:autoSpaceDE/>
      <w:autoSpaceDN/>
      <w:snapToGrid/>
      <w:spacing w:after="160" w:line="240" w:lineRule="exact"/>
      <w:ind w:firstLine="640" w:firstLineChars="200"/>
      <w:textAlignment w:val="auto"/>
    </w:pPr>
    <w:rPr>
      <w:rFonts w:ascii="Verdana" w:hAnsi="Verdana" w:eastAsia="仿宋_GB2312" w:cs="Times New Roman"/>
      <w:snapToGrid/>
      <w:color w:val="auto"/>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1479E-C386-4F9B-BE0B-DCE9A5F19111}">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8944</Words>
  <Characters>10384</Characters>
  <Lines>80</Lines>
  <Paragraphs>22</Paragraphs>
  <TotalTime>0</TotalTime>
  <ScaleCrop>false</ScaleCrop>
  <LinksUpToDate>false</LinksUpToDate>
  <CharactersWithSpaces>10394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2023-07-10T09:26:00Z</dcterms:created>
  <dc:creator>hyacinth</dc:creator>
  <cp:lastModifiedBy>Ashley</cp:lastModifiedBy>
  <dcterms:modified xsi:type="dcterms:W3CDTF">2023-07-24T07:03:26Z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6C3BD369368A4D64B9A810A80408C2CE_12</vt:lpwstr>
  </property>
</Properties>
</file>