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3" w:line="221" w:lineRule="auto"/>
        <w:jc w:val="center"/>
        <w:rPr>
          <w:rFonts w:ascii="Times New Roman" w:hAnsi="Times New Roman" w:eastAsia="仿宋" w:cs="Times New Roman"/>
          <w:spacing w:val="16"/>
          <w:sz w:val="44"/>
          <w:szCs w:val="44"/>
          <w14:textOutline w14:w="7962" w14:cap="flat" w14:cmpd="sng" w14:algn="ctr">
            <w14:solidFill>
              <w14:srgbClr w14:val="000000"/>
            </w14:solidFill>
            <w14:prstDash w14:val="solid"/>
            <w14:miter w14:val="0"/>
          </w14:textOutline>
        </w:rPr>
      </w:pPr>
    </w:p>
    <w:p>
      <w:pPr>
        <w:spacing w:before="143" w:line="221" w:lineRule="auto"/>
        <w:jc w:val="center"/>
        <w:rPr>
          <w:rFonts w:ascii="Times New Roman" w:hAnsi="Times New Roman" w:eastAsia="仿宋" w:cs="Times New Roman"/>
          <w:spacing w:val="16"/>
          <w:sz w:val="44"/>
          <w:szCs w:val="44"/>
          <w14:textOutline w14:w="7962" w14:cap="flat" w14:cmpd="sng" w14:algn="ctr">
            <w14:solidFill>
              <w14:srgbClr w14:val="000000"/>
            </w14:solidFill>
            <w14:prstDash w14:val="solid"/>
            <w14:miter w14:val="0"/>
          </w14:textOutline>
        </w:rPr>
      </w:pPr>
    </w:p>
    <w:p>
      <w:pPr>
        <w:widowControl w:val="0"/>
        <w:kinsoku/>
        <w:autoSpaceDE/>
        <w:autoSpaceDN/>
        <w:adjustRightInd/>
        <w:snapToGrid/>
        <w:spacing w:line="360" w:lineRule="auto"/>
        <w:jc w:val="center"/>
        <w:textAlignment w:val="auto"/>
        <w:rPr>
          <w:rFonts w:ascii="方正小标宋简体" w:hAnsi="方正小标宋简体" w:eastAsia="方正小标宋简体" w:cs="方正小标宋简体"/>
          <w:snapToGrid/>
          <w:kern w:val="2"/>
          <w:sz w:val="44"/>
          <w:szCs w:val="44"/>
        </w:rPr>
      </w:pPr>
    </w:p>
    <w:p>
      <w:pPr>
        <w:spacing w:line="360" w:lineRule="auto"/>
        <w:jc w:val="center"/>
        <w:rPr>
          <w:rFonts w:ascii="仿宋_GB2312" w:eastAsia="仿宋_GB2312"/>
          <w:sz w:val="44"/>
          <w:szCs w:val="44"/>
        </w:rPr>
      </w:pPr>
      <w:r>
        <w:rPr>
          <w:rFonts w:hint="eastAsia" w:ascii="方正小标宋简体" w:hAnsi="方正小标宋简体" w:eastAsia="方正小标宋简体" w:cs="方正小标宋简体"/>
          <w:sz w:val="44"/>
          <w:szCs w:val="44"/>
        </w:rPr>
        <w:t>项目绩效自评报告</w:t>
      </w:r>
    </w:p>
    <w:p>
      <w:pPr>
        <w:spacing w:before="233" w:line="223" w:lineRule="auto"/>
        <w:rPr>
          <w:rFonts w:ascii="Times New Roman" w:hAnsi="Times New Roman" w:eastAsia="仿宋" w:cs="Times New Roman"/>
          <w:spacing w:val="-15"/>
          <w:w w:val="97"/>
          <w:position w:val="22"/>
          <w:sz w:val="32"/>
          <w:szCs w:val="32"/>
        </w:rPr>
      </w:pPr>
    </w:p>
    <w:p>
      <w:pPr>
        <w:spacing w:before="233" w:line="223" w:lineRule="auto"/>
        <w:rPr>
          <w:rFonts w:ascii="Times New Roman" w:hAnsi="Times New Roman" w:eastAsia="仿宋" w:cs="Times New Roman"/>
          <w:spacing w:val="-15"/>
          <w:w w:val="97"/>
          <w:position w:val="22"/>
          <w:sz w:val="32"/>
          <w:szCs w:val="32"/>
        </w:rPr>
      </w:pPr>
    </w:p>
    <w:p>
      <w:pPr>
        <w:spacing w:before="233" w:line="223" w:lineRule="auto"/>
        <w:rPr>
          <w:rFonts w:ascii="Times New Roman" w:hAnsi="Times New Roman" w:eastAsia="仿宋" w:cs="Times New Roman"/>
          <w:spacing w:val="-15"/>
          <w:w w:val="97"/>
          <w:position w:val="22"/>
          <w:sz w:val="32"/>
          <w:szCs w:val="32"/>
        </w:rPr>
      </w:pPr>
    </w:p>
    <w:p>
      <w:pPr>
        <w:spacing w:before="233" w:line="223" w:lineRule="auto"/>
        <w:rPr>
          <w:rFonts w:ascii="Times New Roman" w:hAnsi="Times New Roman" w:eastAsia="仿宋" w:cs="Times New Roman"/>
          <w:spacing w:val="-15"/>
          <w:w w:val="97"/>
          <w:position w:val="22"/>
          <w:sz w:val="32"/>
          <w:szCs w:val="32"/>
        </w:rPr>
      </w:pPr>
    </w:p>
    <w:p>
      <w:pPr>
        <w:spacing w:before="233" w:line="223" w:lineRule="auto"/>
        <w:rPr>
          <w:rFonts w:ascii="Times New Roman" w:hAnsi="Times New Roman" w:eastAsia="仿宋" w:cs="Times New Roman"/>
          <w:spacing w:val="-15"/>
          <w:w w:val="97"/>
          <w:position w:val="22"/>
          <w:sz w:val="32"/>
          <w:szCs w:val="32"/>
        </w:rPr>
      </w:pP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财政事权名称：</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对应政策任务个数：1</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具体名称：省级以上生态公益林效益补偿资金</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预算单位：广东省林业局（公章）</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填报人姓名：陈泱霖</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联系电话：81953373</w:t>
      </w:r>
    </w:p>
    <w:p>
      <w:pPr>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填报日期：2023年7月</w:t>
      </w:r>
    </w:p>
    <w:p>
      <w:pPr>
        <w:pStyle w:val="3"/>
        <w:snapToGrid/>
        <w:spacing w:line="360" w:lineRule="auto"/>
        <w:ind w:firstLine="640"/>
        <w:contextualSpacing/>
        <w:rPr>
          <w:rFonts w:ascii="Times New Roman" w:hAnsi="Times New Roman" w:cs="Times New Roman"/>
        </w:rPr>
        <w:sectPr>
          <w:pgSz w:w="11906" w:h="16838"/>
          <w:pgMar w:top="1440" w:right="1800" w:bottom="1440" w:left="1800" w:header="851" w:footer="992" w:gutter="0"/>
          <w:cols w:space="425" w:num="1"/>
          <w:docGrid w:type="lines" w:linePitch="312" w:charSpace="0"/>
        </w:sectPr>
      </w:pPr>
    </w:p>
    <w:p>
      <w:pPr>
        <w:widowControl w:val="0"/>
        <w:kinsoku/>
        <w:autoSpaceDE/>
        <w:autoSpaceDN/>
        <w:adjustRightInd/>
        <w:snapToGrid/>
        <w:spacing w:line="360" w:lineRule="auto"/>
        <w:ind w:firstLine="640" w:firstLineChars="200"/>
        <w:jc w:val="both"/>
        <w:textAlignment w:val="auto"/>
        <w:rPr>
          <w:rFonts w:ascii="仿宋_GB2312" w:hAnsi="仿宋_GB2312" w:eastAsia="仿宋_GB2312" w:cs="仿宋_GB2312"/>
          <w:snapToGrid/>
          <w:color w:val="auto"/>
          <w:kern w:val="2"/>
          <w:sz w:val="32"/>
          <w:szCs w:val="24"/>
        </w:rPr>
      </w:pPr>
      <w:r>
        <w:rPr>
          <w:rFonts w:hint="eastAsia" w:ascii="仿宋_GB2312" w:hAnsi="仿宋_GB2312" w:eastAsia="仿宋_GB2312" w:cs="仿宋_GB2312"/>
          <w:snapToGrid/>
          <w:color w:val="auto"/>
          <w:kern w:val="2"/>
          <w:sz w:val="32"/>
          <w:szCs w:val="24"/>
        </w:rPr>
        <w:t>根据《广东省财政厅关于开展</w:t>
      </w:r>
      <w:r>
        <w:rPr>
          <w:rFonts w:ascii="仿宋_GB2312" w:hAnsi="仿宋_GB2312" w:eastAsia="仿宋_GB2312" w:cs="仿宋_GB2312"/>
          <w:snapToGrid/>
          <w:color w:val="auto"/>
          <w:kern w:val="2"/>
          <w:sz w:val="32"/>
          <w:szCs w:val="24"/>
        </w:rPr>
        <w:t>202</w:t>
      </w:r>
      <w:r>
        <w:rPr>
          <w:rFonts w:hint="eastAsia" w:ascii="仿宋_GB2312" w:hAnsi="仿宋_GB2312" w:eastAsia="仿宋_GB2312" w:cs="仿宋_GB2312"/>
          <w:snapToGrid/>
          <w:color w:val="auto"/>
          <w:kern w:val="2"/>
          <w:sz w:val="32"/>
          <w:szCs w:val="24"/>
        </w:rPr>
        <w:t>3</w:t>
      </w:r>
      <w:r>
        <w:rPr>
          <w:rFonts w:ascii="仿宋_GB2312" w:hAnsi="仿宋_GB2312" w:eastAsia="仿宋_GB2312" w:cs="仿宋_GB2312"/>
          <w:snapToGrid/>
          <w:color w:val="auto"/>
          <w:kern w:val="2"/>
          <w:sz w:val="32"/>
          <w:szCs w:val="24"/>
        </w:rPr>
        <w:t>年省级财政资金绩效自评工作的通知</w:t>
      </w:r>
      <w:r>
        <w:rPr>
          <w:rFonts w:hint="eastAsia" w:ascii="仿宋_GB2312" w:hAnsi="仿宋_GB2312" w:eastAsia="仿宋_GB2312" w:cs="仿宋_GB2312"/>
          <w:snapToGrid/>
          <w:color w:val="auto"/>
          <w:kern w:val="2"/>
          <w:sz w:val="32"/>
          <w:szCs w:val="24"/>
        </w:rPr>
        <w:t>》的要求，为进一步压实预算绩效管理主体责任，提高财政资金使用效益，我局开展了2022年“省级以上生态公益林效益补偿资金”项目绩效自评工作。针对该项目的过程、产出和效益等方面的内容，我局着重分析了项目的绩效目标完成情况、项目任务完成情况、项目产生的效益等情况，提出了该项目实施的主要绩效和改进意见。现就该项目的绩效自评情况报告如下：</w:t>
      </w:r>
    </w:p>
    <w:p>
      <w:pPr>
        <w:pStyle w:val="3"/>
        <w:adjustRightInd/>
        <w:snapToGrid/>
        <w:spacing w:line="360" w:lineRule="auto"/>
        <w:ind w:firstLine="640" w:firstLineChars="200"/>
        <w:contextualSpacing/>
        <w:rPr>
          <w:rFonts w:ascii="Times New Roman" w:hAnsi="Times New Roman" w:cs="Times New Roman"/>
        </w:rPr>
      </w:pPr>
      <w:r>
        <w:rPr>
          <w:rFonts w:hint="eastAsia" w:ascii="Times New Roman" w:hAnsi="Times New Roman" w:cs="Times New Roman"/>
        </w:rPr>
        <w:t>一、基本情况</w:t>
      </w:r>
    </w:p>
    <w:p>
      <w:pPr>
        <w:pStyle w:val="4"/>
        <w:adjustRightInd/>
        <w:snapToGrid/>
        <w:spacing w:line="360" w:lineRule="auto"/>
        <w:ind w:firstLine="640"/>
        <w:rPr>
          <w:rFonts w:ascii="楷体_GB2312" w:hAnsi="楷体_GB2312" w:eastAsia="楷体_GB2312" w:cs="楷体_GB2312"/>
          <w:b/>
          <w:bCs w:val="0"/>
        </w:rPr>
      </w:pPr>
      <w:r>
        <w:rPr>
          <w:rFonts w:hint="eastAsia" w:ascii="楷体_GB2312" w:hAnsi="楷体_GB2312" w:eastAsia="楷体_GB2312" w:cs="楷体_GB2312"/>
          <w:b/>
          <w:bCs w:val="0"/>
        </w:rPr>
        <w:t>（一）项目资金概况</w:t>
      </w:r>
    </w:p>
    <w:p>
      <w:pPr>
        <w:widowControl w:val="0"/>
        <w:kinsoku/>
        <w:autoSpaceDE/>
        <w:autoSpaceDN/>
        <w:adjustRightInd/>
        <w:snapToGrid/>
        <w:spacing w:line="360" w:lineRule="auto"/>
        <w:ind w:firstLine="640" w:firstLineChars="200"/>
        <w:jc w:val="both"/>
        <w:textAlignment w:val="auto"/>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为进一步落实党的二十大报告提出</w:t>
      </w:r>
      <w:r>
        <w:rPr>
          <w:rFonts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rPr>
        <w:t>建立生态产品价值实现机制，完善生态保护补偿机制</w:t>
      </w:r>
      <w:r>
        <w:rPr>
          <w:rFonts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rPr>
        <w:t>发展战略，继续保持我省在公益林建设和管护的领先地位，从而全面提升我省森林生态系统的多样性、稳定性、持续性，广东省财政厅安排265511万元用于2022年省级以上生态公益林效益补偿项目。</w:t>
      </w:r>
    </w:p>
    <w:p>
      <w:pPr>
        <w:widowControl w:val="0"/>
        <w:kinsoku/>
        <w:autoSpaceDE/>
        <w:autoSpaceDN/>
        <w:adjustRightInd/>
        <w:snapToGrid/>
        <w:spacing w:line="360" w:lineRule="auto"/>
        <w:ind w:firstLine="640" w:firstLineChars="200"/>
        <w:jc w:val="both"/>
        <w:textAlignment w:val="auto"/>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根据《关于做好2022年省级财政资金项目入库储备工作的通知》（粤财预〔2021〕30号）、《关于印发〈广东省省级财政资金绩效评审管理办法（试行）〉的通知》（粤财预〔2019〕121号）、《广东省省级生态公益林效益补偿资金管理办法》（粤财农〔2018〕322号）以及2022年事业发展性支出预算编制项目库申报工作部署，我局结合各地市公益林管理实际和各自然保护区、省级林场工作需要申报项目195个，申请省级以上生态公益林效益补偿资金265511万元。其中，损失性补偿资金257954万元，公益林管护管理和示范建设经费7557万元（含134万公益林管护救灾复产项目）。</w:t>
      </w:r>
    </w:p>
    <w:p>
      <w:pPr>
        <w:pStyle w:val="4"/>
        <w:adjustRightInd/>
        <w:snapToGrid/>
        <w:spacing w:line="360" w:lineRule="auto"/>
        <w:ind w:firstLine="640"/>
        <w:rPr>
          <w:rFonts w:ascii="楷体_GB2312" w:hAnsi="楷体_GB2312" w:eastAsia="楷体_GB2312" w:cs="楷体_GB2312"/>
          <w:b/>
          <w:bCs w:val="0"/>
        </w:rPr>
      </w:pPr>
      <w:bookmarkStart w:id="0" w:name="_Toc13088"/>
      <w:bookmarkStart w:id="1" w:name="_Toc13192"/>
      <w:r>
        <w:rPr>
          <w:rFonts w:hint="eastAsia" w:ascii="楷体_GB2312" w:hAnsi="楷体_GB2312" w:eastAsia="楷体_GB2312" w:cs="楷体_GB2312"/>
          <w:b/>
          <w:bCs w:val="0"/>
        </w:rPr>
        <w:t>（二）资金分配方式</w:t>
      </w:r>
      <w:bookmarkEnd w:id="0"/>
      <w:bookmarkEnd w:id="1"/>
      <w:r>
        <w:rPr>
          <w:rFonts w:hint="eastAsia" w:ascii="楷体_GB2312" w:hAnsi="楷体_GB2312" w:eastAsia="楷体_GB2312" w:cs="楷体_GB2312"/>
          <w:b/>
          <w:bCs w:val="0"/>
        </w:rPr>
        <w:tab/>
      </w:r>
    </w:p>
    <w:p>
      <w:pPr>
        <w:widowControl w:val="0"/>
        <w:kinsoku/>
        <w:autoSpaceDE/>
        <w:autoSpaceDN/>
        <w:adjustRightInd/>
        <w:snapToGrid/>
        <w:spacing w:line="36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bCs/>
          <w:color w:val="auto"/>
          <w:sz w:val="32"/>
          <w:szCs w:val="32"/>
        </w:rPr>
        <w:t>2022年省级以上生态公益林效益补偿标准由平均42元/亩提高到44元/亩。根据一般区域和特殊区域面积计算，一般区域补偿标准为37元/亩，特殊区域补偿标准为49.4元/亩。资金分配方式有两种：</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bCs/>
          <w:color w:val="auto"/>
          <w:sz w:val="32"/>
          <w:szCs w:val="32"/>
        </w:rPr>
        <w:t>按公益林面积将补偿资金中的损失性补偿资金分配下达到市县财政和省直有关单位。</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bCs/>
          <w:color w:val="auto"/>
          <w:sz w:val="32"/>
          <w:szCs w:val="32"/>
        </w:rPr>
        <w:t>省统筹经费的分配，主要采用专家评审，扶持对象主要是市县林业主管部门、省直有关单位。</w:t>
      </w:r>
    </w:p>
    <w:p>
      <w:pPr>
        <w:pStyle w:val="4"/>
        <w:adjustRightInd/>
        <w:snapToGrid/>
        <w:spacing w:line="360" w:lineRule="auto"/>
        <w:ind w:firstLine="640"/>
        <w:rPr>
          <w:rFonts w:eastAsiaTheme="minorEastAsia"/>
        </w:rPr>
      </w:pPr>
      <w:bookmarkStart w:id="2" w:name="_Toc9813"/>
      <w:bookmarkStart w:id="3" w:name="_Toc14452"/>
      <w:r>
        <w:rPr>
          <w:rFonts w:hint="eastAsia" w:ascii="楷体_GB2312" w:hAnsi="楷体_GB2312" w:eastAsia="楷体_GB2312" w:cs="楷体_GB2312"/>
          <w:b/>
          <w:bCs w:val="0"/>
        </w:rPr>
        <w:t>（三）项目主要用途、扶持对象</w:t>
      </w:r>
      <w:bookmarkEnd w:id="2"/>
      <w:bookmarkEnd w:id="3"/>
    </w:p>
    <w:p>
      <w:pPr>
        <w:adjustRightInd/>
        <w:snapToGrid/>
        <w:spacing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napToGrid/>
          <w:color w:val="auto"/>
          <w:kern w:val="2"/>
          <w:sz w:val="32"/>
          <w:szCs w:val="24"/>
        </w:rPr>
        <w:t>“省级以上生态公益林效益补偿资金”</w:t>
      </w:r>
      <w:r>
        <w:rPr>
          <w:rFonts w:ascii="仿宋_GB2312" w:hAnsi="仿宋_GB2312" w:eastAsia="仿宋_GB2312" w:cs="仿宋_GB2312"/>
          <w:sz w:val="32"/>
          <w:szCs w:val="32"/>
        </w:rPr>
        <w:t>分为损失性补偿资金和公共管护经费两部分，其中损失性补偿资金指补给因划定为省级生态公益林而禁止采伐林木造成经济损失的林地经营者或林木所有者的资金；公共管护经费包括生态公益林管护人员经费、管理经费和省统筹经费。</w:t>
      </w:r>
    </w:p>
    <w:p>
      <w:pPr>
        <w:adjustRightInd/>
        <w:snapToGrid/>
        <w:spacing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项目资金主要分配到以下37个单位：汕头市、韶关市、河源市、梅州市、惠州市、汕尾市、江门市、阳江市、湛江市、茂名市、肇庆市、清远市、潮州市、揭阳市、云浮市、广州市（花都区）、广东省省乳阳林场、广东省省沙头角林场、广东省省龙眼洞林场、广东省省天井山林场、广东省省樟木头林场、广东省省乐昌林场、广东省省连山林场、广东省省东江林场、广东省省九连山林场、广东省省西江林场、广东省省德庆林场、广东省省郁南林场、广东省省云浮林场、广东省林业科学研究院西江分院、国营雷州局、省农垦总局、广东车八岭国家级自然保护区管理局、广东潮安凤凰山省级自然保护区管理处、广东曲江罗坑鳄蜥省级自然保护区管理处。</w:t>
      </w:r>
    </w:p>
    <w:p>
      <w:pPr>
        <w:pStyle w:val="4"/>
        <w:adjustRightInd/>
        <w:snapToGrid/>
        <w:spacing w:line="360" w:lineRule="auto"/>
        <w:ind w:firstLine="640"/>
        <w:contextualSpacing/>
        <w:rPr>
          <w:rFonts w:ascii="楷体_GB2312" w:hAnsi="楷体_GB2312" w:eastAsia="楷体_GB2312" w:cs="楷体_GB2312"/>
          <w:b/>
          <w:bCs w:val="0"/>
        </w:rPr>
      </w:pPr>
      <w:r>
        <w:rPr>
          <w:rFonts w:hint="eastAsia" w:ascii="楷体_GB2312" w:hAnsi="楷体_GB2312" w:eastAsia="楷体_GB2312" w:cs="楷体_GB2312"/>
          <w:b/>
          <w:bCs w:val="0"/>
        </w:rPr>
        <w:t>（四）绩效目标</w:t>
      </w:r>
    </w:p>
    <w:p>
      <w:pPr>
        <w:adjustRightInd/>
        <w:snapToGrid/>
        <w:spacing w:line="360" w:lineRule="auto"/>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广东省林业局关于报送2022年省财政省级以上公益林效益补偿资金和绩效目标的函》（粤林函〔2021〕322号）文件的附件《2022年省财政省级以上公益林效益补偿资金项目绩效目标申报表（一级项目）》和《广东省财政厅关于提前下达2022年省级以上生态公益林效益补偿资金的通知》（粤财资环〔2021〕136号），确定了本项目的总体绩效目标和具体绩效指标如下：</w:t>
      </w:r>
    </w:p>
    <w:p>
      <w:pPr>
        <w:pStyle w:val="5"/>
        <w:adjustRightInd/>
        <w:snapToGrid/>
        <w:spacing w:line="360" w:lineRule="auto"/>
        <w:ind w:firstLine="640"/>
        <w:rPr>
          <w:rFonts w:ascii="仿宋_GB2312" w:hAnsi="仿宋_GB2312" w:eastAsia="仿宋_GB2312" w:cs="仿宋_GB2312"/>
          <w:bCs w:val="0"/>
          <w:color w:val="auto"/>
        </w:rPr>
      </w:pPr>
      <w:r>
        <w:rPr>
          <w:rFonts w:hint="eastAsia" w:ascii="仿宋_GB2312" w:hAnsi="仿宋_GB2312" w:eastAsia="仿宋_GB2312" w:cs="仿宋_GB2312"/>
          <w:bCs w:val="0"/>
          <w:color w:val="auto"/>
        </w:rPr>
        <w:t>1.总体绩效目标</w:t>
      </w:r>
    </w:p>
    <w:p>
      <w:pPr>
        <w:adjustRightInd/>
        <w:snapToGrid/>
        <w:spacing w:line="360" w:lineRule="auto"/>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做好区划范围内的省级公益林建设管理和保护工作，按时足额发放2022年损失性补偿资金至林农手中，及时合理支出公共管护经费和管理经费。</w:t>
      </w:r>
    </w:p>
    <w:p>
      <w:pPr>
        <w:adjustRightInd/>
        <w:snapToGrid/>
        <w:spacing w:line="360" w:lineRule="auto"/>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提高监管能力，严防各类破坏公益林资源的案件发生，确保公益林资源安全。提升森林景观，实施人工促进天然林更新或封育管护等措施，促进天然次生林生态系统正向演替。探索可持续经营利用，增加林农收入，取得公益林的生态、经济和社会三大效益多赢。</w:t>
      </w:r>
    </w:p>
    <w:p>
      <w:pPr>
        <w:pStyle w:val="5"/>
        <w:adjustRightInd/>
        <w:snapToGrid/>
        <w:spacing w:line="360" w:lineRule="auto"/>
        <w:ind w:firstLine="640"/>
        <w:rPr>
          <w:rFonts w:ascii="仿宋_GB2312" w:hAnsi="仿宋_GB2312" w:eastAsia="仿宋_GB2312" w:cs="仿宋_GB2312"/>
          <w:b w:val="0"/>
          <w:bCs w:val="0"/>
          <w:color w:val="auto"/>
        </w:rPr>
      </w:pPr>
      <w:r>
        <w:rPr>
          <w:rFonts w:hint="eastAsia" w:ascii="仿宋_GB2312" w:hAnsi="仿宋_GB2312" w:eastAsia="仿宋_GB2312" w:cs="仿宋_GB2312"/>
          <w:bCs w:val="0"/>
          <w:color w:val="auto"/>
        </w:rPr>
        <w:t>2.具体绩效指标：</w:t>
      </w:r>
      <w:r>
        <w:rPr>
          <w:rFonts w:hint="eastAsia" w:ascii="仿宋_GB2312" w:hAnsi="仿宋_GB2312" w:eastAsia="仿宋_GB2312" w:cs="仿宋_GB2312"/>
          <w:b w:val="0"/>
          <w:bCs w:val="0"/>
          <w:color w:val="auto"/>
        </w:rPr>
        <w:t>项目的具体绩效指标情况详见表1-1所示。</w:t>
      </w:r>
    </w:p>
    <w:p>
      <w:pPr>
        <w:spacing w:before="156" w:beforeLines="50" w:line="360" w:lineRule="auto"/>
        <w:jc w:val="center"/>
        <w:rPr>
          <w:rFonts w:ascii="黑体" w:hAnsi="宋体" w:eastAsia="黑体" w:cs="黑体"/>
          <w:sz w:val="28"/>
          <w:szCs w:val="28"/>
          <w:lang w:bidi="ar"/>
        </w:rPr>
      </w:pPr>
      <w:r>
        <w:rPr>
          <w:rFonts w:hint="eastAsia" w:ascii="黑体" w:hAnsi="宋体" w:eastAsia="黑体" w:cs="黑体"/>
          <w:sz w:val="28"/>
          <w:szCs w:val="28"/>
          <w:lang w:bidi="ar"/>
        </w:rPr>
        <w:t>表1-</w:t>
      </w:r>
      <w:r>
        <w:rPr>
          <w:rFonts w:ascii="黑体" w:hAnsi="宋体" w:eastAsia="黑体" w:cs="黑体"/>
          <w:sz w:val="28"/>
          <w:szCs w:val="28"/>
          <w:lang w:bidi="ar"/>
        </w:rPr>
        <w:t>1</w:t>
      </w:r>
      <w:r>
        <w:rPr>
          <w:rFonts w:hint="eastAsia" w:ascii="黑体" w:hAnsi="宋体" w:eastAsia="黑体" w:cs="黑体"/>
          <w:sz w:val="28"/>
          <w:szCs w:val="28"/>
          <w:lang w:bidi="ar"/>
        </w:rPr>
        <w:t xml:space="preserve"> 具体绩效指标情况表</w:t>
      </w:r>
    </w:p>
    <w:tbl>
      <w:tblPr>
        <w:tblStyle w:val="16"/>
        <w:tblW w:w="90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4602"/>
        <w:gridCol w:w="3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tcBorders>
              <w:top w:val="single" w:color="auto" w:sz="4" w:space="0"/>
              <w:left w:val="single" w:color="auto" w:sz="4" w:space="0"/>
              <w:bottom w:val="single" w:color="auto" w:sz="4" w:space="0"/>
              <w:right w:val="single" w:color="auto" w:sz="4" w:space="0"/>
            </w:tcBorders>
            <w:shd w:val="clear" w:color="auto" w:fill="D6E3BC"/>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4602" w:type="dxa"/>
            <w:tcBorders>
              <w:top w:val="single" w:color="auto" w:sz="4" w:space="0"/>
              <w:left w:val="single" w:color="auto" w:sz="4" w:space="0"/>
              <w:bottom w:val="single" w:color="auto" w:sz="4" w:space="0"/>
              <w:right w:val="single" w:color="auto" w:sz="4" w:space="0"/>
            </w:tcBorders>
            <w:shd w:val="clear" w:color="auto" w:fill="D6E3BC"/>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绩效指标</w:t>
            </w:r>
          </w:p>
        </w:tc>
        <w:tc>
          <w:tcPr>
            <w:tcW w:w="3618" w:type="dxa"/>
            <w:tcBorders>
              <w:top w:val="single" w:color="auto" w:sz="4" w:space="0"/>
              <w:left w:val="single" w:color="auto" w:sz="4" w:space="0"/>
              <w:bottom w:val="single" w:color="auto" w:sz="4" w:space="0"/>
              <w:right w:val="single" w:color="auto" w:sz="4" w:space="0"/>
            </w:tcBorders>
            <w:shd w:val="clear" w:color="auto" w:fill="D6E3BC"/>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年度目标值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460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省级生态公益林面积（万亩）</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6747.94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460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建设公益林示范区</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460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公益林管护水平</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pacing w:val="-6"/>
                <w:sz w:val="24"/>
              </w:rPr>
              <w:t>平均每3000-5000亩一名管护人员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460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资金使用率</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460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工作任务完成及时率</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460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平均补偿标准（元/亩）</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460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对当地经济发展是否促进作用</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8</w:t>
            </w:r>
          </w:p>
        </w:tc>
        <w:tc>
          <w:tcPr>
            <w:tcW w:w="460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公益林区域内有无采脂、采石等违规现象</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9</w:t>
            </w:r>
          </w:p>
        </w:tc>
        <w:tc>
          <w:tcPr>
            <w:tcW w:w="460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森林火灾受害率</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10</w:t>
            </w:r>
          </w:p>
        </w:tc>
        <w:tc>
          <w:tcPr>
            <w:tcW w:w="460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区域林业有害生物成灾率</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pacing w:val="-23"/>
                <w:sz w:val="24"/>
                <w:szCs w:val="24"/>
              </w:rPr>
              <w:t>26.32‰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12</w:t>
            </w:r>
          </w:p>
        </w:tc>
        <w:tc>
          <w:tcPr>
            <w:tcW w:w="460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政策或制度可持续</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13</w:t>
            </w:r>
          </w:p>
        </w:tc>
        <w:tc>
          <w:tcPr>
            <w:tcW w:w="460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机制可持续（如管护、经费投入等）</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14</w:t>
            </w:r>
          </w:p>
        </w:tc>
        <w:tc>
          <w:tcPr>
            <w:tcW w:w="460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公益林示范区示范效应（是否明显）</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ascii="仿宋_GB2312" w:hAnsi="仿宋_GB2312" w:eastAsia="仿宋_GB2312" w:cs="仿宋_GB2312"/>
                <w:sz w:val="24"/>
              </w:rPr>
              <w:t>15</w:t>
            </w:r>
          </w:p>
        </w:tc>
        <w:tc>
          <w:tcPr>
            <w:tcW w:w="460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受益人员满意度</w:t>
            </w:r>
          </w:p>
        </w:tc>
        <w:tc>
          <w:tcPr>
            <w:tcW w:w="361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90%以上</w:t>
            </w:r>
          </w:p>
        </w:tc>
      </w:tr>
    </w:tbl>
    <w:p>
      <w:pPr>
        <w:pStyle w:val="3"/>
        <w:adjustRightInd/>
        <w:snapToGrid/>
        <w:spacing w:before="156" w:beforeLines="50" w:line="360" w:lineRule="auto"/>
        <w:ind w:firstLine="640" w:firstLineChars="200"/>
        <w:contextualSpacing/>
        <w:rPr>
          <w:rFonts w:ascii="Times New Roman" w:hAnsi="Times New Roman" w:cs="Times New Roman"/>
        </w:rPr>
      </w:pPr>
      <w:bookmarkStart w:id="4" w:name="_Toc1692"/>
      <w:r>
        <w:rPr>
          <w:rFonts w:hint="eastAsia" w:ascii="Times New Roman" w:hAnsi="Times New Roman" w:cs="Times New Roman"/>
        </w:rPr>
        <w:t>二、自评情况</w:t>
      </w:r>
      <w:bookmarkEnd w:id="4"/>
    </w:p>
    <w:p>
      <w:pPr>
        <w:pStyle w:val="4"/>
        <w:adjustRightInd/>
        <w:snapToGrid/>
        <w:spacing w:line="360" w:lineRule="auto"/>
        <w:ind w:firstLine="640"/>
        <w:rPr>
          <w:rFonts w:ascii="楷体_GB2312" w:hAnsi="楷体_GB2312" w:eastAsia="楷体_GB2312" w:cs="楷体_GB2312"/>
          <w:b/>
          <w:bCs w:val="0"/>
        </w:rPr>
      </w:pPr>
      <w:bookmarkStart w:id="5" w:name="_Toc552"/>
      <w:r>
        <w:rPr>
          <w:rFonts w:hint="eastAsia" w:ascii="楷体_GB2312" w:hAnsi="楷体_GB2312" w:eastAsia="楷体_GB2312" w:cs="楷体_GB2312"/>
          <w:b/>
          <w:bCs w:val="0"/>
        </w:rPr>
        <w:t>（一）自评</w:t>
      </w:r>
      <w:bookmarkEnd w:id="5"/>
      <w:r>
        <w:rPr>
          <w:rFonts w:hint="eastAsia" w:ascii="楷体_GB2312" w:hAnsi="楷体_GB2312" w:eastAsia="楷体_GB2312" w:cs="楷体_GB2312"/>
          <w:b/>
          <w:bCs w:val="0"/>
        </w:rPr>
        <w:t>结论及指标分析</w:t>
      </w:r>
    </w:p>
    <w:p>
      <w:pPr>
        <w:widowControl w:val="0"/>
        <w:kinsoku/>
        <w:autoSpaceDE/>
        <w:autoSpaceDN/>
        <w:adjustRightInd/>
        <w:snapToGrid/>
        <w:spacing w:line="360" w:lineRule="auto"/>
        <w:ind w:firstLine="643" w:firstLineChars="200"/>
        <w:jc w:val="both"/>
        <w:textAlignment w:val="auto"/>
      </w:pPr>
      <w:r>
        <w:rPr>
          <w:rFonts w:hint="eastAsia" w:ascii="仿宋_GB2312" w:hAnsi="仿宋_GB2312" w:eastAsia="仿宋_GB2312" w:cs="Times New Roman"/>
          <w:b/>
          <w:bCs/>
          <w:snapToGrid/>
          <w:kern w:val="2"/>
          <w:sz w:val="32"/>
          <w:szCs w:val="24"/>
        </w:rPr>
        <w:t>1.自评结论</w:t>
      </w:r>
    </w:p>
    <w:p>
      <w:pPr>
        <w:widowControl w:val="0"/>
        <w:adjustRightInd/>
        <w:snapToGrid/>
        <w:spacing w:line="360" w:lineRule="auto"/>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通过分析汇总我局各用款单位提供的自评报告和相关材料，参照《广东省财政厅关于开展2023年省级财政资金绩效自评工作的通知》的要求，2022年</w:t>
      </w:r>
      <w:r>
        <w:rPr>
          <w:rFonts w:hint="eastAsia" w:ascii="仿宋_GB2312" w:hAnsi="仿宋_GB2312" w:eastAsia="仿宋_GB2312" w:cs="仿宋_GB2312"/>
          <w:snapToGrid/>
          <w:color w:val="auto"/>
          <w:kern w:val="2"/>
          <w:sz w:val="32"/>
          <w:szCs w:val="24"/>
        </w:rPr>
        <w:t>“省级以上生态公益林效益补偿资金”</w:t>
      </w:r>
      <w:r>
        <w:rPr>
          <w:rFonts w:hint="eastAsia" w:ascii="仿宋_GB2312" w:hAnsi="仿宋_GB2312" w:eastAsia="仿宋_GB2312" w:cs="仿宋_GB2312"/>
          <w:color w:val="auto"/>
          <w:sz w:val="32"/>
          <w:szCs w:val="32"/>
        </w:rPr>
        <w:t>项目较好完成了项目预期目标及我局公益林相关年度工作任务。</w:t>
      </w:r>
    </w:p>
    <w:p>
      <w:pPr>
        <w:adjustRightInd/>
        <w:snapToGrid/>
        <w:spacing w:line="360" w:lineRule="auto"/>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项目自评分别从过程、产出、效益三个方面8个二级指标、14个三级指标进行逐一评分，采取定性与定量分析相结合的评价方法，对绩效完成情况进行自评打分。经综合分析，本项目绩效自评得分为</w:t>
      </w:r>
      <w:r>
        <w:rPr>
          <w:rFonts w:hint="eastAsia" w:ascii="仿宋_GB2312" w:hAnsi="仿宋_GB2312" w:eastAsia="仿宋_GB2312" w:cs="仿宋_GB2312"/>
          <w:b/>
          <w:bCs/>
          <w:color w:val="auto"/>
          <w:sz w:val="32"/>
          <w:szCs w:val="32"/>
        </w:rPr>
        <w:t>9</w:t>
      </w:r>
      <w:r>
        <w:rPr>
          <w:rFonts w:hint="eastAsia" w:ascii="仿宋_GB2312" w:hAnsi="仿宋_GB2312" w:eastAsia="仿宋_GB2312" w:cs="仿宋_GB2312"/>
          <w:b/>
          <w:bCs/>
          <w:color w:val="auto"/>
          <w:sz w:val="32"/>
          <w:szCs w:val="32"/>
          <w:lang w:val="en-US" w:eastAsia="zh-CN"/>
        </w:rPr>
        <w:t>7</w:t>
      </w:r>
      <w:r>
        <w:rPr>
          <w:rFonts w:hint="eastAsia" w:ascii="仿宋_GB2312" w:hAnsi="仿宋_GB2312" w:eastAsia="仿宋_GB2312" w:cs="仿宋_GB2312"/>
          <w:color w:val="auto"/>
          <w:sz w:val="32"/>
          <w:szCs w:val="32"/>
        </w:rPr>
        <w:t>分，自评等级为</w:t>
      </w:r>
      <w:r>
        <w:rPr>
          <w:rFonts w:hint="eastAsia" w:ascii="仿宋_GB2312" w:hAnsi="仿宋_GB2312" w:eastAsia="仿宋_GB2312" w:cs="仿宋_GB2312"/>
          <w:b/>
          <w:bCs/>
          <w:color w:val="auto"/>
          <w:sz w:val="32"/>
          <w:szCs w:val="32"/>
        </w:rPr>
        <w:t>“优”</w:t>
      </w:r>
      <w:r>
        <w:rPr>
          <w:rFonts w:hint="eastAsia" w:ascii="仿宋_GB2312" w:hAnsi="仿宋_GB2312" w:eastAsia="仿宋_GB2312" w:cs="仿宋_GB2312"/>
          <w:color w:val="auto"/>
          <w:sz w:val="32"/>
          <w:szCs w:val="32"/>
        </w:rPr>
        <w:t>。项目一级指标自评得分情况见表2-1所示。</w:t>
      </w:r>
    </w:p>
    <w:p>
      <w:pPr>
        <w:pStyle w:val="19"/>
        <w:spacing w:line="360" w:lineRule="auto"/>
        <w:ind w:firstLine="0" w:firstLineChars="0"/>
        <w:jc w:val="center"/>
        <w:rPr>
          <w:rFonts w:ascii="黑体" w:hAnsi="黑体" w:eastAsia="黑体" w:cs="黑体"/>
          <w:sz w:val="28"/>
          <w:szCs w:val="28"/>
        </w:rPr>
      </w:pPr>
      <w:r>
        <w:rPr>
          <w:rFonts w:hint="eastAsia" w:ascii="黑体" w:hAnsi="黑体" w:eastAsia="黑体" w:cs="黑体"/>
          <w:sz w:val="28"/>
          <w:szCs w:val="28"/>
        </w:rPr>
        <w:t xml:space="preserve">表2-1 </w:t>
      </w:r>
      <w:r>
        <w:rPr>
          <w:rFonts w:hint="eastAsia" w:ascii="黑体" w:hAnsi="黑体" w:eastAsia="黑体" w:cs="黑体"/>
          <w:sz w:val="28"/>
          <w:szCs w:val="28"/>
          <w:lang w:bidi="ar"/>
        </w:rPr>
        <w:t>项目一级指标自评得分情况表</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8"/>
        <w:gridCol w:w="2131"/>
        <w:gridCol w:w="212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9" w:type="pct"/>
            <w:shd w:val="clear" w:color="auto" w:fill="D6E3BC"/>
            <w:noWrap/>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一级指标</w:t>
            </w:r>
          </w:p>
        </w:tc>
        <w:tc>
          <w:tcPr>
            <w:tcW w:w="1250" w:type="pct"/>
            <w:shd w:val="clear" w:color="auto" w:fill="D6E3BC"/>
            <w:noWrap/>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指标分值</w:t>
            </w:r>
          </w:p>
        </w:tc>
        <w:tc>
          <w:tcPr>
            <w:tcW w:w="1249" w:type="pct"/>
            <w:shd w:val="clear" w:color="auto" w:fill="D6E3BC"/>
            <w:noWrap/>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评价得分</w:t>
            </w:r>
          </w:p>
        </w:tc>
        <w:tc>
          <w:tcPr>
            <w:tcW w:w="1250" w:type="pct"/>
            <w:shd w:val="clear" w:color="auto" w:fill="D6E3BC"/>
            <w:noWrap/>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9" w:type="pc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过程</w:t>
            </w:r>
          </w:p>
        </w:tc>
        <w:tc>
          <w:tcPr>
            <w:tcW w:w="1250" w:type="pc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1249" w:type="pct"/>
            <w:noWrap/>
            <w:vAlign w:val="center"/>
          </w:tcPr>
          <w:p>
            <w:pPr>
              <w:jc w:val="center"/>
              <w:rPr>
                <w:rFonts w:ascii="仿宋_GB2312" w:hAnsi="仿宋_GB2312" w:eastAsia="仿宋_GB2312" w:cs="仿宋_GB2312"/>
                <w:sz w:val="24"/>
              </w:rPr>
            </w:pPr>
            <w:r>
              <w:rPr>
                <w:rFonts w:ascii="仿宋_GB2312" w:hAnsi="仿宋_GB2312" w:eastAsia="仿宋_GB2312" w:cs="仿宋_GB2312"/>
                <w:sz w:val="24"/>
              </w:rPr>
              <w:t>17.4</w:t>
            </w:r>
          </w:p>
        </w:tc>
        <w:tc>
          <w:tcPr>
            <w:tcW w:w="1250" w:type="pct"/>
            <w:noWrap/>
            <w:vAlign w:val="center"/>
          </w:tcPr>
          <w:p>
            <w:pPr>
              <w:jc w:val="center"/>
              <w:rPr>
                <w:rFonts w:ascii="仿宋_GB2312" w:hAnsi="仿宋_GB2312" w:eastAsia="仿宋_GB2312" w:cs="仿宋_GB2312"/>
                <w:sz w:val="24"/>
              </w:rPr>
            </w:pPr>
            <w:r>
              <w:rPr>
                <w:rFonts w:ascii="仿宋_GB2312" w:hAnsi="仿宋_GB2312" w:eastAsia="仿宋_GB2312" w:cs="仿宋_GB2312"/>
                <w:sz w:val="24"/>
              </w:rPr>
              <w:t>87</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9" w:type="pc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产出</w:t>
            </w:r>
          </w:p>
        </w:tc>
        <w:tc>
          <w:tcPr>
            <w:tcW w:w="1250" w:type="pc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40</w:t>
            </w:r>
          </w:p>
        </w:tc>
        <w:tc>
          <w:tcPr>
            <w:tcW w:w="1249" w:type="pct"/>
            <w:noWrap/>
            <w:vAlign w:val="center"/>
          </w:tcPr>
          <w:p>
            <w:pPr>
              <w:jc w:val="center"/>
              <w:rPr>
                <w:rFonts w:hint="default" w:ascii="仿宋_GB2312" w:hAnsi="仿宋_GB2312" w:eastAsia="仿宋_GB2312" w:cs="仿宋_GB2312"/>
                <w:sz w:val="24"/>
                <w:lang w:val="en-US" w:eastAsia="zh-CN"/>
              </w:rPr>
            </w:pPr>
            <w:r>
              <w:rPr>
                <w:rFonts w:ascii="仿宋_GB2312" w:hAnsi="仿宋_GB2312" w:eastAsia="仿宋_GB2312" w:cs="仿宋_GB2312"/>
                <w:sz w:val="24"/>
              </w:rPr>
              <w:t>3</w:t>
            </w:r>
            <w:r>
              <w:rPr>
                <w:rFonts w:hint="eastAsia" w:ascii="仿宋_GB2312" w:hAnsi="仿宋_GB2312" w:eastAsia="仿宋_GB2312" w:cs="仿宋_GB2312"/>
                <w:sz w:val="24"/>
                <w:lang w:val="en-US" w:eastAsia="zh-CN"/>
              </w:rPr>
              <w:t>9.6</w:t>
            </w:r>
          </w:p>
        </w:tc>
        <w:tc>
          <w:tcPr>
            <w:tcW w:w="1250" w:type="pct"/>
            <w:noWrap/>
            <w:vAlign w:val="center"/>
          </w:tcPr>
          <w:p>
            <w:pPr>
              <w:jc w:val="center"/>
              <w:rPr>
                <w:rFonts w:ascii="仿宋_GB2312" w:hAnsi="仿宋_GB2312" w:eastAsia="仿宋_GB2312" w:cs="仿宋_GB2312"/>
                <w:sz w:val="24"/>
              </w:rPr>
            </w:pPr>
            <w:r>
              <w:rPr>
                <w:rFonts w:ascii="仿宋_GB2312" w:hAnsi="仿宋_GB2312" w:eastAsia="仿宋_GB2312" w:cs="仿宋_GB2312"/>
                <w:sz w:val="24"/>
              </w:rPr>
              <w:t>9</w:t>
            </w:r>
            <w:r>
              <w:rPr>
                <w:rFonts w:hint="eastAsia" w:ascii="仿宋_GB2312" w:hAnsi="仿宋_GB2312" w:eastAsia="仿宋_GB2312" w:cs="仿宋_GB2312"/>
                <w:sz w:val="24"/>
                <w:lang w:val="en-US" w:eastAsia="zh-CN"/>
              </w:rPr>
              <w:t>9</w:t>
            </w:r>
            <w:r>
              <w:rPr>
                <w:rFonts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9" w:type="pc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效益</w:t>
            </w:r>
          </w:p>
        </w:tc>
        <w:tc>
          <w:tcPr>
            <w:tcW w:w="1250" w:type="pc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40</w:t>
            </w:r>
          </w:p>
        </w:tc>
        <w:tc>
          <w:tcPr>
            <w:tcW w:w="1249" w:type="pc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40</w:t>
            </w:r>
          </w:p>
        </w:tc>
        <w:tc>
          <w:tcPr>
            <w:tcW w:w="1250" w:type="pc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49" w:type="pct"/>
            <w:tcBorders>
              <w:top w:val="single" w:color="auto" w:sz="4" w:space="0"/>
              <w:left w:val="single" w:color="auto" w:sz="4" w:space="0"/>
              <w:bottom w:val="single" w:color="auto" w:sz="4" w:space="0"/>
              <w:right w:val="single" w:color="auto" w:sz="4" w:space="0"/>
            </w:tcBorders>
            <w:shd w:val="clear" w:color="auto" w:fill="D6E3BC"/>
            <w:noWrap/>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合计</w:t>
            </w:r>
          </w:p>
        </w:tc>
        <w:tc>
          <w:tcPr>
            <w:tcW w:w="1250" w:type="pct"/>
            <w:tcBorders>
              <w:top w:val="single" w:color="auto" w:sz="4" w:space="0"/>
              <w:left w:val="single" w:color="auto" w:sz="4" w:space="0"/>
              <w:bottom w:val="single" w:color="auto" w:sz="4" w:space="0"/>
              <w:right w:val="single" w:color="auto" w:sz="4" w:space="0"/>
            </w:tcBorders>
            <w:shd w:val="clear" w:color="auto" w:fill="D6E3BC"/>
            <w:noWrap/>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100</w:t>
            </w:r>
          </w:p>
        </w:tc>
        <w:tc>
          <w:tcPr>
            <w:tcW w:w="1249" w:type="pct"/>
            <w:tcBorders>
              <w:top w:val="single" w:color="auto" w:sz="4" w:space="0"/>
              <w:left w:val="single" w:color="auto" w:sz="4" w:space="0"/>
              <w:bottom w:val="single" w:color="auto" w:sz="4" w:space="0"/>
              <w:right w:val="single" w:color="auto" w:sz="4" w:space="0"/>
            </w:tcBorders>
            <w:shd w:val="clear" w:color="auto" w:fill="D6E3BC"/>
            <w:noWrap/>
            <w:vAlign w:val="center"/>
          </w:tcPr>
          <w:p>
            <w:pPr>
              <w:jc w:val="center"/>
              <w:rPr>
                <w:rFonts w:hint="eastAsia" w:ascii="仿宋_GB2312" w:hAnsi="仿宋_GB2312" w:eastAsia="仿宋_GB2312" w:cs="仿宋_GB2312"/>
                <w:b/>
                <w:bCs/>
                <w:sz w:val="24"/>
                <w:lang w:eastAsia="zh-CN"/>
              </w:rPr>
            </w:pPr>
            <w:r>
              <w:rPr>
                <w:rFonts w:ascii="仿宋_GB2312" w:hAnsi="仿宋_GB2312" w:eastAsia="仿宋_GB2312" w:cs="仿宋_GB2312"/>
                <w:b/>
                <w:bCs/>
                <w:sz w:val="24"/>
              </w:rPr>
              <w:t>9</w:t>
            </w:r>
            <w:r>
              <w:rPr>
                <w:rFonts w:hint="eastAsia" w:ascii="仿宋_GB2312" w:hAnsi="仿宋_GB2312" w:eastAsia="仿宋_GB2312" w:cs="仿宋_GB2312"/>
                <w:b/>
                <w:bCs/>
                <w:sz w:val="24"/>
                <w:lang w:val="en-US" w:eastAsia="zh-CN"/>
              </w:rPr>
              <w:t>7</w:t>
            </w:r>
          </w:p>
        </w:tc>
        <w:tc>
          <w:tcPr>
            <w:tcW w:w="1250" w:type="pct"/>
            <w:tcBorders>
              <w:top w:val="single" w:color="auto" w:sz="4" w:space="0"/>
              <w:left w:val="single" w:color="auto" w:sz="4" w:space="0"/>
              <w:bottom w:val="single" w:color="auto" w:sz="4" w:space="0"/>
              <w:right w:val="single" w:color="auto" w:sz="4" w:space="0"/>
            </w:tcBorders>
            <w:shd w:val="clear" w:color="auto" w:fill="D6E3BC"/>
            <w:noWrap/>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lang w:val="en-US" w:eastAsia="zh-CN"/>
              </w:rPr>
              <w:t>97</w:t>
            </w:r>
            <w:r>
              <w:rPr>
                <w:rFonts w:ascii="仿宋_GB2312" w:hAnsi="仿宋_GB2312" w:eastAsia="仿宋_GB2312" w:cs="仿宋_GB2312"/>
                <w:b/>
                <w:bCs/>
                <w:sz w:val="24"/>
              </w:rPr>
              <w:t>%</w:t>
            </w:r>
          </w:p>
        </w:tc>
      </w:tr>
    </w:tbl>
    <w:p>
      <w:pPr>
        <w:widowControl w:val="0"/>
        <w:kinsoku/>
        <w:autoSpaceDE/>
        <w:autoSpaceDN/>
        <w:adjustRightInd/>
        <w:snapToGrid/>
        <w:spacing w:before="156" w:beforeLines="50" w:line="360" w:lineRule="auto"/>
        <w:ind w:firstLine="643" w:firstLineChars="200"/>
        <w:jc w:val="both"/>
        <w:textAlignment w:val="auto"/>
        <w:rPr>
          <w:rFonts w:ascii="仿宋_GB2312" w:hAnsi="仿宋_GB2312" w:eastAsia="仿宋_GB2312" w:cs="Times New Roman"/>
          <w:b/>
          <w:bCs/>
          <w:snapToGrid/>
          <w:kern w:val="2"/>
          <w:sz w:val="32"/>
          <w:szCs w:val="24"/>
        </w:rPr>
      </w:pPr>
      <w:bookmarkStart w:id="6" w:name="_Toc29428"/>
      <w:bookmarkStart w:id="7" w:name="_Toc15230"/>
      <w:bookmarkStart w:id="8" w:name="_Toc11264"/>
      <w:r>
        <w:rPr>
          <w:rFonts w:hint="eastAsia" w:ascii="仿宋_GB2312" w:hAnsi="仿宋_GB2312" w:eastAsia="仿宋_GB2312" w:cs="Times New Roman"/>
          <w:b/>
          <w:bCs/>
          <w:snapToGrid/>
          <w:kern w:val="2"/>
          <w:sz w:val="32"/>
          <w:szCs w:val="24"/>
        </w:rPr>
        <w:t>2.指标分析</w:t>
      </w:r>
    </w:p>
    <w:p>
      <w:pPr>
        <w:widowControl w:val="0"/>
        <w:kinsoku/>
        <w:autoSpaceDE/>
        <w:autoSpaceDN/>
        <w:adjustRightInd/>
        <w:snapToGrid/>
        <w:spacing w:line="360" w:lineRule="auto"/>
        <w:ind w:firstLine="643" w:firstLineChars="200"/>
        <w:jc w:val="both"/>
        <w:textAlignment w:val="auto"/>
        <w:rPr>
          <w:rFonts w:ascii="仿宋_GB2312" w:hAnsi="仿宋_GB2312" w:eastAsia="仿宋_GB2312" w:cs="仿宋_GB2312"/>
          <w:color w:val="auto"/>
        </w:rPr>
      </w:pPr>
      <w:r>
        <w:rPr>
          <w:rFonts w:hint="eastAsia" w:ascii="仿宋_GB2312" w:hAnsi="仿宋_GB2312" w:eastAsia="仿宋_GB2312" w:cs="Times New Roman"/>
          <w:b/>
          <w:bCs/>
          <w:snapToGrid/>
          <w:kern w:val="2"/>
          <w:sz w:val="32"/>
          <w:szCs w:val="24"/>
        </w:rPr>
        <w:t>（1）过程</w:t>
      </w:r>
      <w:bookmarkEnd w:id="6"/>
      <w:bookmarkEnd w:id="7"/>
      <w:r>
        <w:rPr>
          <w:rFonts w:hint="eastAsia" w:ascii="仿宋_GB2312" w:hAnsi="仿宋_GB2312" w:eastAsia="仿宋_GB2312" w:cs="Times New Roman"/>
          <w:b/>
          <w:bCs/>
          <w:snapToGrid/>
          <w:kern w:val="2"/>
          <w:sz w:val="32"/>
          <w:szCs w:val="24"/>
        </w:rPr>
        <w:t>。</w:t>
      </w:r>
      <w:bookmarkEnd w:id="8"/>
    </w:p>
    <w:p>
      <w:pPr>
        <w:adjustRightInd/>
        <w:snapToGrid/>
        <w:spacing w:line="360" w:lineRule="auto"/>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该指标主要考核项目过程管理的规范性，包含资金管理和事项管理两个方面。过程指标分值20分，自评得分17.</w:t>
      </w: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分，得分率为87%。该项目过程指标得分情况见表2-2所示。</w:t>
      </w:r>
    </w:p>
    <w:p>
      <w:pPr>
        <w:spacing w:before="156" w:beforeLines="50" w:line="360" w:lineRule="auto"/>
        <w:jc w:val="center"/>
        <w:rPr>
          <w:rFonts w:ascii="黑体" w:hAnsi="黑体" w:eastAsia="黑体" w:cs="黑体"/>
          <w:sz w:val="28"/>
          <w:szCs w:val="28"/>
        </w:rPr>
      </w:pPr>
      <w:r>
        <w:rPr>
          <w:rFonts w:hint="eastAsia" w:ascii="黑体" w:hAnsi="黑体" w:eastAsia="黑体" w:cs="黑体"/>
          <w:sz w:val="28"/>
          <w:szCs w:val="28"/>
        </w:rPr>
        <w:t>表2-2 项目过程指标得分情况表</w:t>
      </w:r>
    </w:p>
    <w:tbl>
      <w:tblPr>
        <w:tblStyle w:val="16"/>
        <w:tblW w:w="4998" w:type="pct"/>
        <w:jc w:val="center"/>
        <w:tblLayout w:type="autofit"/>
        <w:tblCellMar>
          <w:top w:w="0" w:type="dxa"/>
          <w:left w:w="108" w:type="dxa"/>
          <w:bottom w:w="0" w:type="dxa"/>
          <w:right w:w="108" w:type="dxa"/>
        </w:tblCellMar>
      </w:tblPr>
      <w:tblGrid>
        <w:gridCol w:w="1181"/>
        <w:gridCol w:w="1464"/>
        <w:gridCol w:w="1478"/>
        <w:gridCol w:w="1462"/>
        <w:gridCol w:w="1462"/>
        <w:gridCol w:w="1472"/>
      </w:tblGrid>
      <w:tr>
        <w:tblPrEx>
          <w:tblCellMar>
            <w:top w:w="0" w:type="dxa"/>
            <w:left w:w="108" w:type="dxa"/>
            <w:bottom w:w="0" w:type="dxa"/>
            <w:right w:w="108" w:type="dxa"/>
          </w:tblCellMar>
        </w:tblPrEx>
        <w:trPr>
          <w:trHeight w:val="454" w:hRule="atLeast"/>
          <w:jc w:val="center"/>
        </w:trPr>
        <w:tc>
          <w:tcPr>
            <w:tcW w:w="693" w:type="pct"/>
            <w:tcBorders>
              <w:top w:val="single" w:color="auto" w:sz="4" w:space="0"/>
              <w:left w:val="single" w:color="auto" w:sz="4" w:space="0"/>
              <w:bottom w:val="single" w:color="auto" w:sz="4" w:space="0"/>
              <w:right w:val="single" w:color="auto" w:sz="4" w:space="0"/>
            </w:tcBorders>
            <w:shd w:val="clear" w:color="auto" w:fill="D6E3BC"/>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一级指标</w:t>
            </w:r>
          </w:p>
        </w:tc>
        <w:tc>
          <w:tcPr>
            <w:tcW w:w="859" w:type="pct"/>
            <w:tcBorders>
              <w:top w:val="single" w:color="auto" w:sz="4" w:space="0"/>
              <w:left w:val="nil"/>
              <w:bottom w:val="single" w:color="auto" w:sz="4" w:space="0"/>
              <w:right w:val="single" w:color="auto" w:sz="4" w:space="0"/>
            </w:tcBorders>
            <w:shd w:val="clear" w:color="auto" w:fill="D6E3BC"/>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二级指标</w:t>
            </w:r>
          </w:p>
        </w:tc>
        <w:tc>
          <w:tcPr>
            <w:tcW w:w="867" w:type="pct"/>
            <w:tcBorders>
              <w:top w:val="single" w:color="auto" w:sz="4" w:space="0"/>
              <w:left w:val="nil"/>
              <w:bottom w:val="single" w:color="auto" w:sz="4" w:space="0"/>
              <w:right w:val="single" w:color="auto" w:sz="4" w:space="0"/>
            </w:tcBorders>
            <w:shd w:val="clear" w:color="auto" w:fill="D6E3BC"/>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三级指标</w:t>
            </w:r>
          </w:p>
        </w:tc>
        <w:tc>
          <w:tcPr>
            <w:tcW w:w="858" w:type="pct"/>
            <w:tcBorders>
              <w:top w:val="single" w:color="auto" w:sz="4" w:space="0"/>
              <w:left w:val="nil"/>
              <w:bottom w:val="single" w:color="auto" w:sz="4" w:space="0"/>
              <w:right w:val="single" w:color="auto" w:sz="4" w:space="0"/>
            </w:tcBorders>
            <w:shd w:val="clear" w:color="auto" w:fill="D6E3BC"/>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指标分值</w:t>
            </w:r>
          </w:p>
        </w:tc>
        <w:tc>
          <w:tcPr>
            <w:tcW w:w="858" w:type="pct"/>
            <w:tcBorders>
              <w:top w:val="single" w:color="auto" w:sz="4" w:space="0"/>
              <w:left w:val="nil"/>
              <w:bottom w:val="single" w:color="auto" w:sz="4" w:space="0"/>
              <w:right w:val="single" w:color="auto" w:sz="4" w:space="0"/>
            </w:tcBorders>
            <w:shd w:val="clear" w:color="auto" w:fill="D6E3BC"/>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自评得分</w:t>
            </w:r>
          </w:p>
        </w:tc>
        <w:tc>
          <w:tcPr>
            <w:tcW w:w="863" w:type="pct"/>
            <w:tcBorders>
              <w:top w:val="single" w:color="auto" w:sz="4" w:space="0"/>
              <w:left w:val="nil"/>
              <w:bottom w:val="single" w:color="auto" w:sz="4" w:space="0"/>
              <w:right w:val="single" w:color="auto" w:sz="4" w:space="0"/>
            </w:tcBorders>
            <w:shd w:val="clear" w:color="auto" w:fill="D6E3BC"/>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shd w:val="clear" w:color="auto" w:fill="D6E3BC"/>
              </w:rPr>
              <w:t>得</w:t>
            </w:r>
            <w:r>
              <w:rPr>
                <w:rFonts w:hint="eastAsia" w:ascii="仿宋_GB2312" w:hAnsi="仿宋_GB2312" w:eastAsia="仿宋_GB2312" w:cs="仿宋_GB2312"/>
                <w:b/>
                <w:bCs/>
                <w:sz w:val="24"/>
              </w:rPr>
              <w:t>分率</w:t>
            </w:r>
          </w:p>
        </w:tc>
      </w:tr>
      <w:tr>
        <w:tblPrEx>
          <w:tblCellMar>
            <w:top w:w="0" w:type="dxa"/>
            <w:left w:w="108" w:type="dxa"/>
            <w:bottom w:w="0" w:type="dxa"/>
            <w:right w:w="108" w:type="dxa"/>
          </w:tblCellMar>
        </w:tblPrEx>
        <w:trPr>
          <w:trHeight w:val="454" w:hRule="atLeast"/>
          <w:jc w:val="center"/>
        </w:trPr>
        <w:tc>
          <w:tcPr>
            <w:tcW w:w="693"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过程</w:t>
            </w:r>
          </w:p>
        </w:tc>
        <w:tc>
          <w:tcPr>
            <w:tcW w:w="85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资金管理</w:t>
            </w:r>
          </w:p>
        </w:tc>
        <w:tc>
          <w:tcPr>
            <w:tcW w:w="86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资金支出率</w:t>
            </w:r>
          </w:p>
        </w:tc>
        <w:tc>
          <w:tcPr>
            <w:tcW w:w="85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85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w:t>
            </w:r>
            <w:r>
              <w:rPr>
                <w:rFonts w:ascii="仿宋_GB2312" w:hAnsi="仿宋_GB2312" w:eastAsia="仿宋_GB2312" w:cs="仿宋_GB2312"/>
                <w:sz w:val="24"/>
              </w:rPr>
              <w:t>4</w:t>
            </w:r>
          </w:p>
        </w:tc>
        <w:tc>
          <w:tcPr>
            <w:tcW w:w="86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w:t>
            </w:r>
            <w:r>
              <w:rPr>
                <w:rFonts w:ascii="仿宋_GB2312" w:hAnsi="仿宋_GB2312" w:eastAsia="仿宋_GB2312" w:cs="仿宋_GB2312"/>
                <w:sz w:val="24"/>
              </w:rPr>
              <w:t>6</w:t>
            </w:r>
            <w:r>
              <w:rPr>
                <w:rFonts w:hint="eastAsia" w:ascii="仿宋_GB2312" w:hAnsi="仿宋_GB2312" w:eastAsia="仿宋_GB2312" w:cs="仿宋_GB2312"/>
                <w:sz w:val="24"/>
              </w:rPr>
              <w:t>.</w:t>
            </w:r>
            <w:r>
              <w:rPr>
                <w:rFonts w:ascii="仿宋_GB2312" w:hAnsi="仿宋_GB2312" w:eastAsia="仿宋_GB2312" w:cs="仿宋_GB2312"/>
                <w:sz w:val="24"/>
              </w:rPr>
              <w:t>7</w:t>
            </w:r>
            <w:r>
              <w:rPr>
                <w:rFonts w:hint="eastAsia" w:ascii="仿宋_GB2312" w:hAnsi="仿宋_GB2312" w:eastAsia="仿宋_GB2312" w:cs="仿宋_GB2312"/>
                <w:sz w:val="24"/>
              </w:rPr>
              <w:t>%</w:t>
            </w:r>
          </w:p>
        </w:tc>
      </w:tr>
      <w:tr>
        <w:tblPrEx>
          <w:tblCellMar>
            <w:top w:w="0" w:type="dxa"/>
            <w:left w:w="108" w:type="dxa"/>
            <w:bottom w:w="0" w:type="dxa"/>
            <w:right w:w="108" w:type="dxa"/>
          </w:tblCellMar>
        </w:tblPrEx>
        <w:trPr>
          <w:trHeight w:val="454" w:hRule="atLeast"/>
          <w:jc w:val="center"/>
        </w:trPr>
        <w:tc>
          <w:tcPr>
            <w:tcW w:w="693" w:type="pct"/>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p>
        </w:tc>
        <w:tc>
          <w:tcPr>
            <w:tcW w:w="85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事项管理</w:t>
            </w:r>
          </w:p>
        </w:tc>
        <w:tc>
          <w:tcPr>
            <w:tcW w:w="867"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监管有效性</w:t>
            </w:r>
          </w:p>
        </w:tc>
        <w:tc>
          <w:tcPr>
            <w:tcW w:w="85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85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86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87.5%</w:t>
            </w:r>
          </w:p>
        </w:tc>
      </w:tr>
      <w:tr>
        <w:tblPrEx>
          <w:tblCellMar>
            <w:top w:w="0" w:type="dxa"/>
            <w:left w:w="108" w:type="dxa"/>
            <w:bottom w:w="0" w:type="dxa"/>
            <w:right w:w="108" w:type="dxa"/>
          </w:tblCellMar>
        </w:tblPrEx>
        <w:trPr>
          <w:trHeight w:val="454" w:hRule="atLeast"/>
          <w:jc w:val="center"/>
        </w:trPr>
        <w:tc>
          <w:tcPr>
            <w:tcW w:w="2419" w:type="pct"/>
            <w:gridSpan w:val="3"/>
            <w:tcBorders>
              <w:top w:val="single" w:color="auto" w:sz="4" w:space="0"/>
              <w:left w:val="single" w:color="auto" w:sz="4" w:space="0"/>
              <w:bottom w:val="single" w:color="auto" w:sz="4" w:space="0"/>
              <w:right w:val="single" w:color="auto" w:sz="4" w:space="0"/>
            </w:tcBorders>
            <w:shd w:val="clear" w:color="auto" w:fill="D6E3BC"/>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合计</w:t>
            </w:r>
          </w:p>
        </w:tc>
        <w:tc>
          <w:tcPr>
            <w:tcW w:w="858" w:type="pct"/>
            <w:tcBorders>
              <w:top w:val="single" w:color="auto" w:sz="4" w:space="0"/>
              <w:left w:val="single" w:color="auto" w:sz="4" w:space="0"/>
              <w:bottom w:val="single" w:color="auto" w:sz="4" w:space="0"/>
              <w:right w:val="single" w:color="auto" w:sz="4" w:space="0"/>
            </w:tcBorders>
            <w:shd w:val="clear" w:color="auto" w:fill="D6E3BC"/>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20</w:t>
            </w:r>
          </w:p>
        </w:tc>
        <w:tc>
          <w:tcPr>
            <w:tcW w:w="858" w:type="pct"/>
            <w:tcBorders>
              <w:top w:val="single" w:color="auto" w:sz="4" w:space="0"/>
              <w:left w:val="single" w:color="auto" w:sz="4" w:space="0"/>
              <w:bottom w:val="single" w:color="auto" w:sz="4" w:space="0"/>
              <w:right w:val="single" w:color="auto" w:sz="4" w:space="0"/>
            </w:tcBorders>
            <w:shd w:val="clear" w:color="auto" w:fill="D6E3BC"/>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17.</w:t>
            </w:r>
            <w:r>
              <w:rPr>
                <w:rFonts w:ascii="仿宋_GB2312" w:hAnsi="仿宋_GB2312" w:eastAsia="仿宋_GB2312" w:cs="仿宋_GB2312"/>
                <w:b/>
                <w:bCs/>
                <w:sz w:val="24"/>
              </w:rPr>
              <w:t>4</w:t>
            </w:r>
          </w:p>
        </w:tc>
        <w:tc>
          <w:tcPr>
            <w:tcW w:w="863" w:type="pct"/>
            <w:tcBorders>
              <w:top w:val="single" w:color="auto" w:sz="4" w:space="0"/>
              <w:left w:val="single" w:color="auto" w:sz="4" w:space="0"/>
              <w:bottom w:val="single" w:color="auto" w:sz="4" w:space="0"/>
              <w:right w:val="single" w:color="auto" w:sz="4" w:space="0"/>
            </w:tcBorders>
            <w:shd w:val="clear" w:color="auto" w:fill="D6E3BC"/>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87%</w:t>
            </w:r>
          </w:p>
        </w:tc>
      </w:tr>
    </w:tbl>
    <w:p>
      <w:pPr>
        <w:widowControl w:val="0"/>
        <w:autoSpaceDN/>
        <w:adjustRightInd/>
        <w:snapToGrid/>
        <w:spacing w:before="156" w:beforeLines="50" w:line="360" w:lineRule="auto"/>
        <w:ind w:firstLine="643" w:firstLineChars="200"/>
        <w:jc w:val="both"/>
        <w:rPr>
          <w:rFonts w:ascii="仿宋_GB2312" w:eastAsia="仿宋_GB2312" w:cs="Times New Roman"/>
          <w:b/>
          <w:bCs/>
          <w:kern w:val="2"/>
          <w:sz w:val="32"/>
          <w:szCs w:val="32"/>
        </w:rPr>
      </w:pPr>
      <w:r>
        <w:rPr>
          <w:rFonts w:hint="eastAsia" w:ascii="仿宋_GB2312" w:hAnsi="仿宋_GB2312" w:eastAsia="仿宋_GB2312" w:cs="仿宋_GB2312"/>
          <w:b/>
          <w:bCs/>
          <w:kern w:val="2"/>
          <w:sz w:val="32"/>
          <w:szCs w:val="32"/>
          <w:lang w:bidi="ar"/>
        </w:rPr>
        <w:t>①资金管理</w:t>
      </w:r>
    </w:p>
    <w:p>
      <w:pPr>
        <w:adjustRightInd/>
        <w:snapToGrid/>
        <w:spacing w:line="360" w:lineRule="auto"/>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截止2022年12月31日，项目资金支出合计230920.85万元，预算执行率86.97%。该指标分值12分，自评得分10.</w:t>
      </w:r>
      <w:r>
        <w:rPr>
          <w:rFonts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rPr>
        <w:t>分，得分率8</w:t>
      </w:r>
      <w:r>
        <w:rPr>
          <w:rFonts w:ascii="仿宋_GB2312" w:hAnsi="仿宋_GB2312" w:eastAsia="仿宋_GB2312" w:cs="仿宋_GB2312"/>
          <w:color w:val="auto"/>
          <w:sz w:val="32"/>
          <w:szCs w:val="32"/>
        </w:rPr>
        <w:t>6</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7</w:t>
      </w:r>
      <w:r>
        <w:rPr>
          <w:rFonts w:hint="eastAsia" w:ascii="仿宋_GB2312" w:hAnsi="仿宋_GB2312" w:eastAsia="仿宋_GB2312" w:cs="仿宋_GB2312"/>
          <w:color w:val="auto"/>
          <w:sz w:val="32"/>
          <w:szCs w:val="32"/>
        </w:rPr>
        <w:t>%。</w:t>
      </w:r>
    </w:p>
    <w:p>
      <w:pPr>
        <w:widowControl w:val="0"/>
        <w:autoSpaceDN/>
        <w:adjustRightInd/>
        <w:snapToGrid/>
        <w:spacing w:line="360" w:lineRule="auto"/>
        <w:ind w:firstLine="643" w:firstLineChars="200"/>
        <w:jc w:val="both"/>
        <w:textAlignment w:val="auto"/>
        <w:rPr>
          <w:rFonts w:ascii="仿宋_GB2312" w:eastAsia="仿宋_GB2312" w:cs="Times New Roman"/>
          <w:b/>
          <w:bCs/>
          <w:kern w:val="2"/>
          <w:sz w:val="32"/>
          <w:szCs w:val="32"/>
        </w:rPr>
      </w:pPr>
      <w:r>
        <w:rPr>
          <w:rFonts w:hint="eastAsia" w:ascii="仿宋_GB2312" w:hAnsi="仿宋_GB2312" w:eastAsia="仿宋_GB2312" w:cs="仿宋_GB2312"/>
          <w:b/>
          <w:bCs/>
          <w:kern w:val="2"/>
          <w:sz w:val="32"/>
          <w:szCs w:val="32"/>
          <w:lang w:bidi="ar"/>
        </w:rPr>
        <w:t>②事项管理</w:t>
      </w:r>
    </w:p>
    <w:p>
      <w:pPr>
        <w:adjustRightInd/>
        <w:snapToGrid/>
        <w:spacing w:line="360" w:lineRule="auto"/>
        <w:ind w:firstLine="640" w:firstLineChars="200"/>
        <w:jc w:val="both"/>
        <w:rPr>
          <w:rFonts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我局根据《广东省省级生态公益林效益补偿资金管理办法》（粤财农〔2018〕322号）等省级财政专项资金管理办法的相关规定，结合森林资源管理“一张图”年度更新数据情况，编制了2022年</w:t>
      </w:r>
      <w:r>
        <w:rPr>
          <w:rFonts w:hint="eastAsia" w:ascii="仿宋_GB2312" w:hAnsi="仿宋_GB2312" w:eastAsia="仿宋_GB2312" w:cs="仿宋_GB2312"/>
          <w:snapToGrid/>
          <w:color w:val="auto"/>
          <w:kern w:val="2"/>
          <w:sz w:val="32"/>
          <w:szCs w:val="24"/>
        </w:rPr>
        <w:t>“省级以上生态公益林效益补偿资金”</w:t>
      </w:r>
      <w:r>
        <w:rPr>
          <w:rFonts w:hint="eastAsia" w:ascii="仿宋_GB2312" w:hAnsi="仿宋_GB2312" w:eastAsia="仿宋_GB2312" w:cs="仿宋_GB2312"/>
          <w:color w:val="auto"/>
          <w:sz w:val="32"/>
          <w:szCs w:val="32"/>
        </w:rPr>
        <w:t>分配方案，报送广东省财政厅。项目实施过程中，我局严格按照《广东省财政厅关于印发〈省级单位预算执行支出进度通报办法〉的通知》（粤财监〔2021〕22号）的规定，定期对预算执行进度、主管的转移支付资金支出进度情况通报。在资金使用监督方面，我局通过林业项目资金“双监控”情况报备和实地调研等方式跟踪各地公益林效益补偿资金发放进度。各用款单位项目采购审批流程完善、招投标及合同执行等方面工作总体比较规范，能够按规定程序实施，执行情况良好。但</w:t>
      </w:r>
      <w:r>
        <w:rPr>
          <w:rFonts w:hint="eastAsia" w:ascii="仿宋_GB2312" w:hAnsi="仿宋_GB2312" w:eastAsia="仿宋_GB2312" w:cs="仿宋_GB2312"/>
          <w:color w:val="auto"/>
          <w:sz w:val="32"/>
          <w:szCs w:val="32"/>
          <w:lang w:bidi="ar"/>
        </w:rPr>
        <w:t>部分公益林的森林质量不高、林分结构不优。</w:t>
      </w:r>
      <w:r>
        <w:rPr>
          <w:rFonts w:hint="eastAsia" w:ascii="仿宋_GB2312" w:hAnsi="仿宋_GB2312" w:eastAsia="仿宋_GB2312" w:cs="仿宋_GB2312"/>
          <w:color w:val="auto"/>
          <w:sz w:val="32"/>
          <w:szCs w:val="32"/>
        </w:rPr>
        <w:t>该指标分值8分，自评得分7分，得分率87.5%。</w:t>
      </w:r>
    </w:p>
    <w:p>
      <w:pPr>
        <w:pStyle w:val="5"/>
        <w:keepNext w:val="0"/>
        <w:keepLines w:val="0"/>
        <w:widowControl w:val="0"/>
        <w:autoSpaceDN/>
        <w:adjustRightInd/>
        <w:snapToGrid/>
        <w:ind w:firstLine="640"/>
        <w:textAlignment w:val="auto"/>
        <w:rPr>
          <w:rFonts w:ascii="仿宋_GB2312" w:hAnsi="仿宋_GB2312" w:eastAsia="仿宋_GB2312" w:cs="Times New Roman"/>
          <w:snapToGrid/>
          <w:kern w:val="2"/>
          <w:szCs w:val="24"/>
        </w:rPr>
      </w:pPr>
      <w:r>
        <w:rPr>
          <w:rFonts w:hint="eastAsia" w:ascii="仿宋_GB2312" w:hAnsi="仿宋_GB2312" w:eastAsia="仿宋_GB2312" w:cs="Times New Roman"/>
          <w:snapToGrid/>
          <w:kern w:val="2"/>
          <w:szCs w:val="24"/>
        </w:rPr>
        <w:t>（2）产出。</w:t>
      </w:r>
    </w:p>
    <w:p>
      <w:pPr>
        <w:widowControl w:val="0"/>
        <w:adjustRightInd/>
        <w:snapToGrid/>
        <w:spacing w:line="360" w:lineRule="auto"/>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该指标主要考核项目的产出完成情况，包含数量指标、质量指标两个方面。产出指标分值40分，自评得分3</w:t>
      </w:r>
      <w:r>
        <w:rPr>
          <w:rFonts w:hint="eastAsia" w:ascii="仿宋_GB2312" w:hAnsi="仿宋_GB2312" w:eastAsia="仿宋_GB2312" w:cs="仿宋_GB2312"/>
          <w:color w:val="auto"/>
          <w:sz w:val="32"/>
          <w:szCs w:val="32"/>
          <w:lang w:val="en-US" w:eastAsia="zh-CN"/>
        </w:rPr>
        <w:t>9.6</w:t>
      </w:r>
      <w:r>
        <w:rPr>
          <w:rFonts w:hint="eastAsia" w:ascii="仿宋_GB2312" w:hAnsi="仿宋_GB2312" w:eastAsia="仿宋_GB2312" w:cs="仿宋_GB2312"/>
          <w:color w:val="auto"/>
          <w:sz w:val="32"/>
          <w:szCs w:val="32"/>
        </w:rPr>
        <w:t>分，得分率为9</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%。该项目产出指标得分情况见表2-3所示。</w:t>
      </w:r>
    </w:p>
    <w:p>
      <w:pPr>
        <w:adjustRightInd/>
        <w:snapToGrid/>
        <w:spacing w:line="360" w:lineRule="auto"/>
        <w:ind w:firstLine="561"/>
        <w:jc w:val="center"/>
        <w:rPr>
          <w:rFonts w:ascii="黑体" w:hAnsi="黑体" w:eastAsia="黑体" w:cs="黑体"/>
          <w:sz w:val="28"/>
          <w:szCs w:val="28"/>
        </w:rPr>
      </w:pPr>
      <w:r>
        <w:rPr>
          <w:rFonts w:hint="eastAsia" w:ascii="黑体" w:hAnsi="黑体" w:eastAsia="黑体" w:cs="黑体"/>
          <w:sz w:val="28"/>
          <w:szCs w:val="28"/>
        </w:rPr>
        <w:t>表2-3 项目产出指标得分情况表</w:t>
      </w:r>
    </w:p>
    <w:tbl>
      <w:tblPr>
        <w:tblStyle w:val="1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842"/>
        <w:gridCol w:w="2266"/>
        <w:gridCol w:w="1296"/>
        <w:gridCol w:w="1089"/>
        <w:gridCol w:w="765"/>
        <w:gridCol w:w="779"/>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15" w:type="pct"/>
            <w:shd w:val="clear" w:color="auto" w:fill="D6E3BC"/>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一级指标</w:t>
            </w:r>
          </w:p>
        </w:tc>
        <w:tc>
          <w:tcPr>
            <w:tcW w:w="495" w:type="pct"/>
            <w:shd w:val="clear" w:color="auto" w:fill="D6E3BC"/>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二级指标</w:t>
            </w:r>
          </w:p>
        </w:tc>
        <w:tc>
          <w:tcPr>
            <w:tcW w:w="1330" w:type="pct"/>
            <w:shd w:val="clear" w:color="auto" w:fill="D6E3BC"/>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三级指标</w:t>
            </w:r>
          </w:p>
        </w:tc>
        <w:tc>
          <w:tcPr>
            <w:tcW w:w="760" w:type="pct"/>
            <w:shd w:val="clear" w:color="auto" w:fill="D6E3BC"/>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预期值</w:t>
            </w:r>
          </w:p>
        </w:tc>
        <w:tc>
          <w:tcPr>
            <w:tcW w:w="636" w:type="pct"/>
            <w:shd w:val="clear" w:color="auto" w:fill="D6E3BC"/>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实现值</w:t>
            </w:r>
          </w:p>
        </w:tc>
        <w:tc>
          <w:tcPr>
            <w:tcW w:w="449" w:type="pct"/>
            <w:shd w:val="clear" w:color="auto" w:fill="D6E3BC"/>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指标分值</w:t>
            </w:r>
          </w:p>
        </w:tc>
        <w:tc>
          <w:tcPr>
            <w:tcW w:w="457" w:type="pct"/>
            <w:shd w:val="clear" w:color="auto" w:fill="D6E3BC"/>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自评</w:t>
            </w:r>
          </w:p>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得分</w:t>
            </w:r>
          </w:p>
        </w:tc>
        <w:tc>
          <w:tcPr>
            <w:tcW w:w="454" w:type="pct"/>
            <w:shd w:val="clear" w:color="auto" w:fill="D6E3BC"/>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15" w:type="pct"/>
            <w:vMerge w:val="restar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产出</w:t>
            </w:r>
          </w:p>
        </w:tc>
        <w:tc>
          <w:tcPr>
            <w:tcW w:w="495" w:type="pct"/>
            <w:vMerge w:val="restar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数量指标</w:t>
            </w:r>
          </w:p>
        </w:tc>
        <w:tc>
          <w:tcPr>
            <w:tcW w:w="1330"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省级生态公益林面积（万亩）</w:t>
            </w:r>
          </w:p>
        </w:tc>
        <w:tc>
          <w:tcPr>
            <w:tcW w:w="760"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6747.94</w:t>
            </w:r>
          </w:p>
        </w:tc>
        <w:tc>
          <w:tcPr>
            <w:tcW w:w="636"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6747.94</w:t>
            </w:r>
          </w:p>
        </w:tc>
        <w:tc>
          <w:tcPr>
            <w:tcW w:w="449" w:type="pct"/>
            <w:vAlign w:val="center"/>
          </w:tcPr>
          <w:p>
            <w:pPr>
              <w:spacing w:line="3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457" w:type="pct"/>
            <w:vAlign w:val="center"/>
          </w:tcPr>
          <w:p>
            <w:pPr>
              <w:spacing w:line="3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454"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15" w:type="pct"/>
            <w:vMerge w:val="continue"/>
            <w:vAlign w:val="center"/>
          </w:tcPr>
          <w:p>
            <w:pPr>
              <w:spacing w:line="300" w:lineRule="exact"/>
              <w:jc w:val="center"/>
              <w:rPr>
                <w:rFonts w:ascii="仿宋_GB2312" w:hAnsi="仿宋_GB2312" w:eastAsia="仿宋_GB2312" w:cs="仿宋_GB2312"/>
                <w:sz w:val="24"/>
                <w:szCs w:val="24"/>
              </w:rPr>
            </w:pPr>
          </w:p>
        </w:tc>
        <w:tc>
          <w:tcPr>
            <w:tcW w:w="495" w:type="pct"/>
            <w:vMerge w:val="continue"/>
            <w:vAlign w:val="center"/>
          </w:tcPr>
          <w:p>
            <w:pPr>
              <w:spacing w:line="300" w:lineRule="exact"/>
              <w:jc w:val="center"/>
              <w:rPr>
                <w:rFonts w:ascii="仿宋_GB2312" w:hAnsi="仿宋_GB2312" w:eastAsia="仿宋_GB2312" w:cs="仿宋_GB2312"/>
                <w:sz w:val="24"/>
                <w:szCs w:val="24"/>
              </w:rPr>
            </w:pPr>
          </w:p>
        </w:tc>
        <w:tc>
          <w:tcPr>
            <w:tcW w:w="1330"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建设公益林示范区</w:t>
            </w:r>
          </w:p>
        </w:tc>
        <w:tc>
          <w:tcPr>
            <w:tcW w:w="760"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1</w:t>
            </w:r>
          </w:p>
        </w:tc>
        <w:tc>
          <w:tcPr>
            <w:tcW w:w="636" w:type="pct"/>
            <w:vAlign w:val="center"/>
          </w:tcPr>
          <w:p>
            <w:pPr>
              <w:spacing w:line="300" w:lineRule="exact"/>
              <w:jc w:val="center"/>
              <w:rPr>
                <w:rFonts w:hint="eastAsia" w:ascii="仿宋_GB2312" w:hAnsi="仿宋_GB2312" w:eastAsia="仿宋_GB2312" w:cs="仿宋_GB2312"/>
                <w:sz w:val="24"/>
                <w:szCs w:val="24"/>
                <w:lang w:eastAsia="zh-CN"/>
              </w:rPr>
            </w:pPr>
            <w:r>
              <w:rPr>
                <w:rFonts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2</w:t>
            </w:r>
          </w:p>
        </w:tc>
        <w:tc>
          <w:tcPr>
            <w:tcW w:w="449" w:type="pct"/>
            <w:vAlign w:val="center"/>
          </w:tcPr>
          <w:p>
            <w:pPr>
              <w:spacing w:line="3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457" w:type="pct"/>
            <w:vAlign w:val="center"/>
          </w:tcPr>
          <w:p>
            <w:pPr>
              <w:spacing w:line="3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454" w:type="pct"/>
            <w:vAlign w:val="center"/>
          </w:tcPr>
          <w:p>
            <w:pPr>
              <w:spacing w:line="3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15" w:type="pct"/>
            <w:vMerge w:val="continue"/>
            <w:vAlign w:val="center"/>
          </w:tcPr>
          <w:p>
            <w:pPr>
              <w:spacing w:line="300" w:lineRule="exact"/>
              <w:jc w:val="center"/>
              <w:rPr>
                <w:rFonts w:ascii="仿宋_GB2312" w:hAnsi="仿宋_GB2312" w:eastAsia="仿宋_GB2312" w:cs="仿宋_GB2312"/>
                <w:sz w:val="24"/>
                <w:szCs w:val="24"/>
              </w:rPr>
            </w:pPr>
          </w:p>
        </w:tc>
        <w:tc>
          <w:tcPr>
            <w:tcW w:w="495" w:type="pct"/>
            <w:vAlign w:val="center"/>
          </w:tcPr>
          <w:p>
            <w:pPr>
              <w:spacing w:line="3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质量指标</w:t>
            </w:r>
          </w:p>
        </w:tc>
        <w:tc>
          <w:tcPr>
            <w:tcW w:w="1330"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公益林管护水平</w:t>
            </w:r>
          </w:p>
        </w:tc>
        <w:tc>
          <w:tcPr>
            <w:tcW w:w="760"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平均</w:t>
            </w:r>
            <w:r>
              <w:rPr>
                <w:rFonts w:ascii="仿宋_GB2312" w:hAnsi="仿宋_GB2312" w:eastAsia="仿宋_GB2312" w:cs="仿宋_GB2312"/>
                <w:sz w:val="24"/>
                <w:szCs w:val="24"/>
              </w:rPr>
              <w:t>3000-5000</w:t>
            </w:r>
            <w:r>
              <w:rPr>
                <w:rFonts w:hint="eastAsia" w:ascii="仿宋_GB2312" w:hAnsi="仿宋_GB2312" w:eastAsia="仿宋_GB2312" w:cs="仿宋_GB2312"/>
                <w:sz w:val="24"/>
                <w:szCs w:val="24"/>
              </w:rPr>
              <w:t>亩一名管</w:t>
            </w:r>
          </w:p>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护人员</w:t>
            </w:r>
          </w:p>
        </w:tc>
        <w:tc>
          <w:tcPr>
            <w:tcW w:w="636"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平均每2</w:t>
            </w:r>
            <w:r>
              <w:rPr>
                <w:rFonts w:ascii="仿宋_GB2312" w:hAnsi="仿宋_GB2312" w:eastAsia="仿宋_GB2312" w:cs="仿宋_GB2312"/>
                <w:sz w:val="24"/>
                <w:szCs w:val="24"/>
              </w:rPr>
              <w:t>050</w:t>
            </w:r>
            <w:r>
              <w:rPr>
                <w:rFonts w:hint="eastAsia" w:ascii="仿宋_GB2312" w:hAnsi="仿宋_GB2312" w:eastAsia="仿宋_GB2312" w:cs="仿宋_GB2312"/>
                <w:sz w:val="24"/>
                <w:szCs w:val="24"/>
              </w:rPr>
              <w:t>亩一名管</w:t>
            </w:r>
          </w:p>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护人员</w:t>
            </w:r>
          </w:p>
        </w:tc>
        <w:tc>
          <w:tcPr>
            <w:tcW w:w="449" w:type="pct"/>
            <w:vAlign w:val="center"/>
          </w:tcPr>
          <w:p>
            <w:pPr>
              <w:spacing w:line="3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457" w:type="pct"/>
            <w:vAlign w:val="center"/>
          </w:tcPr>
          <w:p>
            <w:pPr>
              <w:spacing w:line="30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7</w:t>
            </w:r>
          </w:p>
        </w:tc>
        <w:tc>
          <w:tcPr>
            <w:tcW w:w="454"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100</w:t>
            </w:r>
            <w:r>
              <w:rPr>
                <w:rFonts w:ascii="仿宋_GB2312" w:hAnsi="仿宋_GB2312" w:eastAsia="仿宋_GB2312" w:cs="仿宋_GB231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15" w:type="pct"/>
            <w:vMerge w:val="continue"/>
            <w:vAlign w:val="center"/>
          </w:tcPr>
          <w:p>
            <w:pPr>
              <w:spacing w:line="300" w:lineRule="exact"/>
              <w:jc w:val="center"/>
              <w:rPr>
                <w:rFonts w:ascii="仿宋_GB2312" w:hAnsi="仿宋_GB2312" w:eastAsia="仿宋_GB2312" w:cs="仿宋_GB2312"/>
                <w:sz w:val="24"/>
                <w:szCs w:val="24"/>
              </w:rPr>
            </w:pPr>
          </w:p>
        </w:tc>
        <w:tc>
          <w:tcPr>
            <w:tcW w:w="495" w:type="pct"/>
            <w:vMerge w:val="restar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时效指标</w:t>
            </w:r>
          </w:p>
        </w:tc>
        <w:tc>
          <w:tcPr>
            <w:tcW w:w="1330"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资金使用率</w:t>
            </w:r>
          </w:p>
        </w:tc>
        <w:tc>
          <w:tcPr>
            <w:tcW w:w="760"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≥90%</w:t>
            </w:r>
          </w:p>
        </w:tc>
        <w:tc>
          <w:tcPr>
            <w:tcW w:w="636" w:type="pct"/>
            <w:vAlign w:val="center"/>
          </w:tcPr>
          <w:p>
            <w:pPr>
              <w:spacing w:line="3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86.97%</w:t>
            </w:r>
          </w:p>
        </w:tc>
        <w:tc>
          <w:tcPr>
            <w:tcW w:w="449" w:type="pct"/>
            <w:vAlign w:val="center"/>
          </w:tcPr>
          <w:p>
            <w:pPr>
              <w:spacing w:line="3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457" w:type="pct"/>
            <w:vAlign w:val="center"/>
          </w:tcPr>
          <w:p>
            <w:pPr>
              <w:spacing w:line="3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5.8</w:t>
            </w:r>
          </w:p>
        </w:tc>
        <w:tc>
          <w:tcPr>
            <w:tcW w:w="454" w:type="pct"/>
            <w:vAlign w:val="center"/>
          </w:tcPr>
          <w:p>
            <w:pPr>
              <w:spacing w:line="3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15" w:type="pct"/>
            <w:vMerge w:val="continue"/>
            <w:vAlign w:val="center"/>
          </w:tcPr>
          <w:p>
            <w:pPr>
              <w:spacing w:line="300" w:lineRule="exact"/>
              <w:jc w:val="center"/>
              <w:rPr>
                <w:rFonts w:ascii="仿宋_GB2312" w:hAnsi="仿宋_GB2312" w:eastAsia="仿宋_GB2312" w:cs="仿宋_GB2312"/>
                <w:sz w:val="24"/>
                <w:szCs w:val="24"/>
              </w:rPr>
            </w:pPr>
          </w:p>
        </w:tc>
        <w:tc>
          <w:tcPr>
            <w:tcW w:w="495" w:type="pct"/>
            <w:vMerge w:val="continue"/>
            <w:vAlign w:val="center"/>
          </w:tcPr>
          <w:p>
            <w:pPr>
              <w:spacing w:line="300" w:lineRule="exact"/>
              <w:jc w:val="center"/>
              <w:rPr>
                <w:rFonts w:ascii="仿宋_GB2312" w:hAnsi="仿宋_GB2312" w:eastAsia="仿宋_GB2312" w:cs="仿宋_GB2312"/>
                <w:sz w:val="24"/>
                <w:szCs w:val="24"/>
              </w:rPr>
            </w:pPr>
          </w:p>
        </w:tc>
        <w:tc>
          <w:tcPr>
            <w:tcW w:w="1330"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spacing w:val="-11"/>
                <w:sz w:val="24"/>
                <w:szCs w:val="24"/>
              </w:rPr>
              <w:t>工作任务完成及时率</w:t>
            </w:r>
          </w:p>
        </w:tc>
        <w:tc>
          <w:tcPr>
            <w:tcW w:w="760"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≥90%</w:t>
            </w:r>
          </w:p>
        </w:tc>
        <w:tc>
          <w:tcPr>
            <w:tcW w:w="636" w:type="pct"/>
            <w:vAlign w:val="center"/>
          </w:tcPr>
          <w:p>
            <w:pPr>
              <w:spacing w:line="3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86.97%</w:t>
            </w:r>
          </w:p>
        </w:tc>
        <w:tc>
          <w:tcPr>
            <w:tcW w:w="449" w:type="pct"/>
            <w:vAlign w:val="center"/>
          </w:tcPr>
          <w:p>
            <w:pPr>
              <w:spacing w:line="3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6</w:t>
            </w:r>
          </w:p>
        </w:tc>
        <w:tc>
          <w:tcPr>
            <w:tcW w:w="457" w:type="pct"/>
            <w:vAlign w:val="center"/>
          </w:tcPr>
          <w:p>
            <w:pPr>
              <w:spacing w:line="3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5.8</w:t>
            </w:r>
          </w:p>
        </w:tc>
        <w:tc>
          <w:tcPr>
            <w:tcW w:w="454" w:type="pct"/>
            <w:vAlign w:val="center"/>
          </w:tcPr>
          <w:p>
            <w:pPr>
              <w:spacing w:line="3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15" w:type="pct"/>
            <w:vMerge w:val="continue"/>
            <w:vAlign w:val="center"/>
          </w:tcPr>
          <w:p>
            <w:pPr>
              <w:spacing w:line="300" w:lineRule="exact"/>
              <w:jc w:val="center"/>
              <w:rPr>
                <w:rFonts w:ascii="仿宋_GB2312" w:hAnsi="仿宋_GB2312" w:eastAsia="仿宋_GB2312" w:cs="仿宋_GB2312"/>
                <w:sz w:val="24"/>
                <w:szCs w:val="24"/>
              </w:rPr>
            </w:pPr>
          </w:p>
        </w:tc>
        <w:tc>
          <w:tcPr>
            <w:tcW w:w="495" w:type="pct"/>
            <w:vAlign w:val="center"/>
          </w:tcPr>
          <w:p>
            <w:pPr>
              <w:spacing w:line="30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成本</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指标</w:t>
            </w:r>
          </w:p>
        </w:tc>
        <w:tc>
          <w:tcPr>
            <w:tcW w:w="1330"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平均补偿标准（元</w:t>
            </w:r>
            <w:r>
              <w:rPr>
                <w:rFonts w:ascii="仿宋_GB2312" w:hAnsi="仿宋_GB2312" w:eastAsia="仿宋_GB2312" w:cs="仿宋_GB2312"/>
                <w:sz w:val="24"/>
                <w:szCs w:val="24"/>
              </w:rPr>
              <w:t>/</w:t>
            </w:r>
            <w:r>
              <w:rPr>
                <w:rFonts w:hint="eastAsia" w:ascii="仿宋_GB2312" w:hAnsi="仿宋_GB2312" w:eastAsia="仿宋_GB2312" w:cs="仿宋_GB2312"/>
                <w:sz w:val="24"/>
                <w:szCs w:val="24"/>
              </w:rPr>
              <w:t>亩）</w:t>
            </w:r>
          </w:p>
        </w:tc>
        <w:tc>
          <w:tcPr>
            <w:tcW w:w="760"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44</w:t>
            </w:r>
          </w:p>
        </w:tc>
        <w:tc>
          <w:tcPr>
            <w:tcW w:w="636" w:type="pct"/>
            <w:vAlign w:val="center"/>
          </w:tcPr>
          <w:p>
            <w:pPr>
              <w:spacing w:line="3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44</w:t>
            </w:r>
          </w:p>
        </w:tc>
        <w:tc>
          <w:tcPr>
            <w:tcW w:w="449" w:type="pct"/>
            <w:vAlign w:val="center"/>
          </w:tcPr>
          <w:p>
            <w:pPr>
              <w:spacing w:line="3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457" w:type="pct"/>
            <w:vAlign w:val="center"/>
          </w:tcPr>
          <w:p>
            <w:pPr>
              <w:spacing w:line="3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7</w:t>
            </w:r>
          </w:p>
        </w:tc>
        <w:tc>
          <w:tcPr>
            <w:tcW w:w="454" w:type="pct"/>
            <w:vAlign w:val="center"/>
          </w:tcPr>
          <w:p>
            <w:pPr>
              <w:spacing w:line="300" w:lineRule="exact"/>
              <w:jc w:val="center"/>
              <w:rPr>
                <w:rFonts w:ascii="仿宋_GB2312" w:hAnsi="仿宋_GB2312" w:eastAsia="仿宋_GB2312" w:cs="仿宋_GB2312"/>
                <w:sz w:val="24"/>
                <w:szCs w:val="24"/>
              </w:rPr>
            </w:pPr>
            <w:r>
              <w:rPr>
                <w:rFonts w:ascii="仿宋_GB2312" w:hAnsi="仿宋_GB2312" w:eastAsia="仿宋_GB2312"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639" w:type="pct"/>
            <w:gridSpan w:val="5"/>
            <w:shd w:val="clear" w:color="auto" w:fill="D6E3BC"/>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合计</w:t>
            </w:r>
          </w:p>
        </w:tc>
        <w:tc>
          <w:tcPr>
            <w:tcW w:w="449" w:type="pct"/>
            <w:shd w:val="clear" w:color="auto" w:fill="D6E3BC"/>
            <w:vAlign w:val="center"/>
          </w:tcPr>
          <w:p>
            <w:pPr>
              <w:spacing w:line="30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40</w:t>
            </w:r>
          </w:p>
        </w:tc>
        <w:tc>
          <w:tcPr>
            <w:tcW w:w="457" w:type="pct"/>
            <w:shd w:val="clear" w:color="auto" w:fill="D6E3BC"/>
            <w:vAlign w:val="center"/>
          </w:tcPr>
          <w:p>
            <w:pPr>
              <w:spacing w:line="300" w:lineRule="exact"/>
              <w:rPr>
                <w:rFonts w:hint="eastAsia" w:ascii="仿宋_GB2312" w:hAnsi="仿宋_GB2312" w:eastAsia="仿宋_GB2312" w:cs="仿宋_GB2312"/>
                <w:b/>
                <w:bCs/>
                <w:sz w:val="24"/>
                <w:szCs w:val="24"/>
                <w:lang w:eastAsia="zh-CN"/>
              </w:rPr>
            </w:pPr>
            <w:r>
              <w:rPr>
                <w:rFonts w:ascii="仿宋_GB2312" w:hAnsi="仿宋_GB2312" w:eastAsia="仿宋_GB2312" w:cs="仿宋_GB2312"/>
                <w:b/>
                <w:bCs/>
                <w:sz w:val="24"/>
                <w:szCs w:val="24"/>
              </w:rPr>
              <w:t>3</w:t>
            </w:r>
            <w:r>
              <w:rPr>
                <w:rFonts w:hint="eastAsia" w:ascii="仿宋_GB2312" w:hAnsi="仿宋_GB2312" w:eastAsia="仿宋_GB2312" w:cs="仿宋_GB2312"/>
                <w:b/>
                <w:bCs/>
                <w:sz w:val="24"/>
                <w:szCs w:val="24"/>
                <w:lang w:val="en-US" w:eastAsia="zh-CN"/>
              </w:rPr>
              <w:t>9</w:t>
            </w:r>
            <w:r>
              <w:rPr>
                <w:rFonts w:ascii="仿宋_GB2312" w:hAnsi="仿宋_GB2312" w:eastAsia="仿宋_GB2312" w:cs="仿宋_GB2312"/>
                <w:b/>
                <w:bCs/>
                <w:sz w:val="24"/>
                <w:szCs w:val="24"/>
              </w:rPr>
              <w:t>.</w:t>
            </w:r>
            <w:r>
              <w:rPr>
                <w:rFonts w:hint="eastAsia" w:ascii="仿宋_GB2312" w:hAnsi="仿宋_GB2312" w:eastAsia="仿宋_GB2312" w:cs="仿宋_GB2312"/>
                <w:b/>
                <w:bCs/>
                <w:sz w:val="24"/>
                <w:szCs w:val="24"/>
                <w:lang w:val="en-US" w:eastAsia="zh-CN"/>
              </w:rPr>
              <w:t>6</w:t>
            </w:r>
          </w:p>
        </w:tc>
        <w:tc>
          <w:tcPr>
            <w:tcW w:w="454" w:type="pct"/>
            <w:shd w:val="clear" w:color="auto" w:fill="D6E3BC"/>
            <w:vAlign w:val="center"/>
          </w:tcPr>
          <w:p>
            <w:pPr>
              <w:spacing w:line="300" w:lineRule="exact"/>
              <w:jc w:val="center"/>
              <w:rPr>
                <w:rFonts w:ascii="仿宋_GB2312" w:hAnsi="仿宋_GB2312" w:eastAsia="仿宋_GB2312" w:cs="仿宋_GB2312"/>
                <w:b/>
                <w:bCs/>
                <w:sz w:val="24"/>
                <w:szCs w:val="24"/>
              </w:rPr>
            </w:pPr>
            <w:r>
              <w:rPr>
                <w:rFonts w:ascii="仿宋_GB2312" w:hAnsi="仿宋_GB2312" w:eastAsia="仿宋_GB2312" w:cs="仿宋_GB2312"/>
                <w:b/>
                <w:bCs/>
                <w:sz w:val="24"/>
                <w:szCs w:val="24"/>
              </w:rPr>
              <w:t>9</w:t>
            </w:r>
            <w:r>
              <w:rPr>
                <w:rFonts w:hint="eastAsia" w:ascii="仿宋_GB2312" w:hAnsi="仿宋_GB2312" w:eastAsia="仿宋_GB2312" w:cs="仿宋_GB2312"/>
                <w:b/>
                <w:bCs/>
                <w:sz w:val="24"/>
                <w:szCs w:val="24"/>
                <w:lang w:val="en-US" w:eastAsia="zh-CN"/>
              </w:rPr>
              <w:t>9</w:t>
            </w:r>
            <w:r>
              <w:rPr>
                <w:rFonts w:hint="eastAsia" w:ascii="仿宋_GB2312" w:hAnsi="仿宋_GB2312" w:eastAsia="仿宋_GB2312" w:cs="仿宋_GB2312"/>
                <w:b/>
                <w:bCs/>
                <w:sz w:val="24"/>
                <w:szCs w:val="24"/>
              </w:rPr>
              <w:t>%</w:t>
            </w:r>
          </w:p>
        </w:tc>
      </w:tr>
    </w:tbl>
    <w:p>
      <w:pPr>
        <w:adjustRightInd/>
        <w:snapToGrid/>
        <w:spacing w:before="156" w:beforeLines="50" w:line="360" w:lineRule="auto"/>
        <w:ind w:firstLine="643" w:firstLineChars="200"/>
        <w:rPr>
          <w:rFonts w:ascii="仿宋_GB2312" w:hAnsi="仿宋_GB2312" w:eastAsia="仿宋_GB2312" w:cs="仿宋_GB2312"/>
          <w:b/>
          <w:bCs/>
          <w:kern w:val="2"/>
          <w:sz w:val="32"/>
          <w:szCs w:val="32"/>
          <w:lang w:bidi="ar"/>
        </w:rPr>
      </w:pPr>
      <w:r>
        <w:rPr>
          <w:rFonts w:ascii="仿宋_GB2312" w:hAnsi="仿宋_GB2312" w:eastAsia="仿宋_GB2312" w:cs="仿宋_GB2312"/>
          <w:b/>
          <w:bCs/>
          <w:kern w:val="2"/>
          <w:sz w:val="32"/>
          <w:szCs w:val="32"/>
          <w:lang w:bidi="ar"/>
        </w:rPr>
        <w:t>①</w:t>
      </w:r>
      <w:r>
        <w:rPr>
          <w:rFonts w:hint="eastAsia" w:ascii="仿宋_GB2312" w:hAnsi="仿宋_GB2312" w:eastAsia="仿宋_GB2312" w:cs="仿宋_GB2312"/>
          <w:b/>
          <w:bCs/>
          <w:kern w:val="2"/>
          <w:sz w:val="32"/>
          <w:szCs w:val="32"/>
          <w:lang w:bidi="ar"/>
        </w:rPr>
        <w:t>数量指标</w:t>
      </w:r>
    </w:p>
    <w:p>
      <w:pPr>
        <w:adjustRightInd/>
        <w:snapToGrid/>
        <w:spacing w:line="360" w:lineRule="auto"/>
        <w:ind w:firstLine="643" w:firstLineChars="200"/>
        <w:jc w:val="both"/>
        <w:rPr>
          <w:rFonts w:ascii="仿宋_GB2312" w:hAnsi="仿宋_GB2312" w:eastAsia="仿宋_GB2312" w:cs="仿宋_GB2312"/>
          <w:bCs/>
          <w:color w:val="auto"/>
          <w:kern w:val="2"/>
          <w:sz w:val="32"/>
          <w:szCs w:val="32"/>
          <w:lang w:bidi="ar"/>
        </w:rPr>
      </w:pPr>
      <w:r>
        <w:rPr>
          <w:rFonts w:hint="eastAsia" w:ascii="仿宋_GB2312" w:hAnsi="仿宋_GB2312" w:eastAsia="仿宋_GB2312" w:cs="仿宋_GB2312"/>
          <w:b/>
          <w:color w:val="auto"/>
          <w:kern w:val="2"/>
          <w:sz w:val="32"/>
          <w:szCs w:val="32"/>
          <w:lang w:bidi="ar"/>
        </w:rPr>
        <w:t>“省级生态公益林面积（万亩）”</w:t>
      </w:r>
      <w:r>
        <w:rPr>
          <w:rFonts w:hint="eastAsia" w:ascii="仿宋_GB2312" w:hAnsi="仿宋_GB2312" w:eastAsia="仿宋_GB2312" w:cs="仿宋_GB2312"/>
          <w:bCs/>
          <w:color w:val="auto"/>
          <w:kern w:val="2"/>
          <w:sz w:val="32"/>
          <w:szCs w:val="32"/>
          <w:lang w:bidi="ar"/>
        </w:rPr>
        <w:t>。截至2022年底，2022年“</w:t>
      </w:r>
      <w:r>
        <w:rPr>
          <w:rFonts w:hint="eastAsia" w:ascii="仿宋_GB2312" w:hAnsi="仿宋_GB2312" w:eastAsia="仿宋_GB2312" w:cs="仿宋_GB2312"/>
          <w:sz w:val="32"/>
          <w:szCs w:val="32"/>
        </w:rPr>
        <w:t>省级以上生态公益林效益补偿资金</w:t>
      </w:r>
      <w:r>
        <w:rPr>
          <w:rFonts w:hint="eastAsia" w:ascii="仿宋_GB2312" w:hAnsi="仿宋_GB2312" w:eastAsia="仿宋_GB2312" w:cs="仿宋_GB2312"/>
          <w:bCs/>
          <w:color w:val="auto"/>
          <w:kern w:val="2"/>
          <w:sz w:val="32"/>
          <w:szCs w:val="32"/>
          <w:lang w:bidi="ar"/>
        </w:rPr>
        <w:t>”项目支持公益林补偿与管护面积6747.94万亩。该指标分值7分，自评得分7分，得分率为100%。详见《广东省财政厅关于提前下达2022年省级以上生态公益林效益补偿资金的通知》（粤财资环〔2021〕136号）文件的附表《提前下达2022年省财政省级以上公益林效益补偿资金明细表及任务清单》。</w:t>
      </w:r>
    </w:p>
    <w:p>
      <w:pPr>
        <w:widowControl w:val="0"/>
        <w:adjustRightInd/>
        <w:snapToGrid/>
        <w:spacing w:line="360" w:lineRule="auto"/>
        <w:ind w:firstLine="643" w:firstLineChars="200"/>
        <w:jc w:val="both"/>
        <w:rPr>
          <w:rFonts w:ascii="仿宋_GB2312" w:hAnsi="仿宋_GB2312" w:eastAsia="仿宋_GB2312" w:cs="仿宋_GB2312"/>
          <w:bCs/>
          <w:color w:val="auto"/>
          <w:kern w:val="2"/>
          <w:sz w:val="32"/>
          <w:szCs w:val="32"/>
          <w:lang w:bidi="ar"/>
        </w:rPr>
      </w:pPr>
      <w:r>
        <w:rPr>
          <w:rFonts w:hint="eastAsia" w:ascii="仿宋_GB2312" w:hAnsi="仿宋_GB2312" w:eastAsia="仿宋_GB2312" w:cs="仿宋_GB2312"/>
          <w:b/>
          <w:color w:val="auto"/>
          <w:kern w:val="2"/>
          <w:sz w:val="32"/>
          <w:szCs w:val="32"/>
          <w:lang w:bidi="ar"/>
        </w:rPr>
        <w:t>“建设公益林示范区1个”</w:t>
      </w:r>
      <w:r>
        <w:rPr>
          <w:rFonts w:hint="eastAsia" w:ascii="仿宋_GB2312" w:hAnsi="仿宋_GB2312" w:eastAsia="仿宋_GB2312" w:cs="仿宋_GB2312"/>
          <w:bCs/>
          <w:color w:val="auto"/>
          <w:kern w:val="2"/>
          <w:sz w:val="32"/>
          <w:szCs w:val="32"/>
          <w:lang w:bidi="ar"/>
        </w:rPr>
        <w:t>。2022年</w:t>
      </w:r>
      <w:r>
        <w:rPr>
          <w:rFonts w:hint="eastAsia" w:ascii="仿宋_GB2312" w:hAnsi="仿宋_GB2312" w:eastAsia="仿宋_GB2312" w:cs="仿宋_GB2312"/>
          <w:bCs/>
          <w:color w:val="auto"/>
          <w:kern w:val="2"/>
          <w:sz w:val="32"/>
          <w:szCs w:val="32"/>
          <w:lang w:val="en-US" w:eastAsia="zh-CN" w:bidi="ar"/>
        </w:rPr>
        <w:t>安排资金</w:t>
      </w:r>
      <w:r>
        <w:rPr>
          <w:rFonts w:hint="eastAsia" w:ascii="仿宋_GB2312" w:hAnsi="仿宋_GB2312" w:eastAsia="仿宋_GB2312" w:cs="仿宋_GB2312"/>
          <w:bCs/>
          <w:color w:val="auto"/>
          <w:kern w:val="2"/>
          <w:sz w:val="32"/>
          <w:szCs w:val="32"/>
          <w:lang w:bidi="ar"/>
        </w:rPr>
        <w:t>建设公益林示范区1</w:t>
      </w:r>
      <w:r>
        <w:rPr>
          <w:rFonts w:hint="eastAsia" w:ascii="仿宋_GB2312" w:hAnsi="仿宋_GB2312" w:eastAsia="仿宋_GB2312" w:cs="仿宋_GB2312"/>
          <w:bCs/>
          <w:color w:val="auto"/>
          <w:kern w:val="2"/>
          <w:sz w:val="32"/>
          <w:szCs w:val="32"/>
          <w:lang w:val="en-US" w:eastAsia="zh-CN" w:bidi="ar"/>
        </w:rPr>
        <w:t>6</w:t>
      </w:r>
      <w:r>
        <w:rPr>
          <w:rFonts w:hint="eastAsia" w:ascii="仿宋_GB2312" w:hAnsi="仿宋_GB2312" w:eastAsia="仿宋_GB2312" w:cs="仿宋_GB2312"/>
          <w:bCs/>
          <w:color w:val="auto"/>
          <w:kern w:val="2"/>
          <w:sz w:val="32"/>
          <w:szCs w:val="32"/>
          <w:lang w:bidi="ar"/>
        </w:rPr>
        <w:t>个</w:t>
      </w:r>
      <w:r>
        <w:rPr>
          <w:rFonts w:hint="eastAsia" w:ascii="仿宋_GB2312" w:hAnsi="仿宋_GB2312" w:eastAsia="仿宋_GB2312" w:cs="仿宋_GB2312"/>
          <w:bCs/>
          <w:color w:val="auto"/>
          <w:kern w:val="2"/>
          <w:sz w:val="32"/>
          <w:szCs w:val="32"/>
          <w:lang w:eastAsia="zh-CN" w:bidi="ar"/>
        </w:rPr>
        <w:t>，</w:t>
      </w:r>
      <w:r>
        <w:rPr>
          <w:rFonts w:hint="eastAsia" w:ascii="仿宋_GB2312" w:hAnsi="仿宋_GB2312" w:eastAsia="仿宋_GB2312" w:cs="仿宋_GB2312"/>
          <w:bCs/>
          <w:color w:val="auto"/>
          <w:kern w:val="2"/>
          <w:sz w:val="32"/>
          <w:szCs w:val="32"/>
          <w:lang w:val="en-US" w:eastAsia="zh-CN" w:bidi="ar"/>
        </w:rPr>
        <w:t>其中未完成的4个</w:t>
      </w:r>
      <w:r>
        <w:rPr>
          <w:rFonts w:hint="eastAsia" w:ascii="仿宋_GB2312" w:hAnsi="仿宋_GB2312" w:eastAsia="仿宋_GB2312" w:cs="仿宋_GB2312"/>
          <w:bCs/>
          <w:color w:val="auto"/>
          <w:kern w:val="2"/>
          <w:sz w:val="32"/>
          <w:szCs w:val="32"/>
          <w:lang w:bidi="ar"/>
        </w:rPr>
        <w:t>。该指标分值7分，自评得分7分，得分率为100%。具体情况见表2-4所示</w:t>
      </w:r>
    </w:p>
    <w:p>
      <w:pPr>
        <w:adjustRightInd/>
        <w:snapToGrid/>
        <w:spacing w:line="360" w:lineRule="auto"/>
        <w:jc w:val="center"/>
        <w:rPr>
          <w:rFonts w:ascii="黑体" w:hAnsi="黑体" w:eastAsia="黑体" w:cs="黑体"/>
          <w:sz w:val="28"/>
          <w:szCs w:val="28"/>
        </w:rPr>
      </w:pPr>
      <w:r>
        <w:rPr>
          <w:rFonts w:hint="eastAsia" w:ascii="黑体" w:hAnsi="黑体" w:eastAsia="黑体" w:cs="黑体"/>
          <w:sz w:val="28"/>
          <w:szCs w:val="28"/>
        </w:rPr>
        <w:t>表2-</w:t>
      </w:r>
      <w:r>
        <w:rPr>
          <w:rFonts w:ascii="黑体" w:hAnsi="黑体" w:eastAsia="黑体" w:cs="黑体"/>
          <w:sz w:val="28"/>
          <w:szCs w:val="28"/>
        </w:rPr>
        <w:t xml:space="preserve">4 </w:t>
      </w:r>
      <w:r>
        <w:rPr>
          <w:rFonts w:hint="eastAsia" w:ascii="黑体" w:hAnsi="黑体" w:eastAsia="黑体" w:cs="黑体"/>
          <w:sz w:val="28"/>
          <w:szCs w:val="28"/>
        </w:rPr>
        <w:t>“建设公益林示范区”项目情况表</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2252"/>
        <w:gridCol w:w="3046"/>
        <w:gridCol w:w="1350"/>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413" w:type="pct"/>
            <w:shd w:val="clear" w:color="auto" w:fill="D6E3BC"/>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1321" w:type="pct"/>
            <w:shd w:val="clear" w:color="auto" w:fill="D6E3BC"/>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申报单位</w:t>
            </w:r>
          </w:p>
        </w:tc>
        <w:tc>
          <w:tcPr>
            <w:tcW w:w="1787" w:type="pct"/>
            <w:shd w:val="clear" w:color="auto" w:fill="D6E3BC"/>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项目内容</w:t>
            </w:r>
          </w:p>
        </w:tc>
        <w:tc>
          <w:tcPr>
            <w:tcW w:w="792" w:type="pct"/>
            <w:shd w:val="clear" w:color="auto" w:fill="D6E3BC"/>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安排资金</w:t>
            </w:r>
          </w:p>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（万元）</w:t>
            </w:r>
          </w:p>
        </w:tc>
        <w:tc>
          <w:tcPr>
            <w:tcW w:w="684" w:type="pct"/>
            <w:shd w:val="clear" w:color="auto" w:fill="D6E3BC"/>
            <w:vAlign w:val="center"/>
          </w:tcPr>
          <w:p>
            <w:pPr>
              <w:jc w:val="center"/>
              <w:rPr>
                <w:rFonts w:ascii="仿宋_GB2312" w:hAnsi="仿宋_GB2312" w:eastAsia="仿宋_GB2312" w:cs="仿宋_GB2312"/>
                <w:b/>
                <w:bCs/>
                <w:sz w:val="24"/>
              </w:rPr>
            </w:pPr>
            <w:r>
              <w:rPr>
                <w:rFonts w:hint="eastAsia" w:ascii="仿宋_GB2312" w:hAnsi="仿宋_GB2312" w:eastAsia="仿宋_GB2312" w:cs="仿宋_GB2312"/>
                <w:b/>
                <w:bCs/>
                <w:sz w:val="24"/>
              </w:rPr>
              <w:t>项目完成情况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13"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321" w:type="pct"/>
            <w:vAlign w:val="center"/>
          </w:tcPr>
          <w:p>
            <w:pP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bidi="ar"/>
              </w:rPr>
              <w:t>广东省云浮林场</w:t>
            </w:r>
          </w:p>
        </w:tc>
        <w:tc>
          <w:tcPr>
            <w:tcW w:w="1787"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用于广东省云浮林场公益林示范区建设</w:t>
            </w:r>
          </w:p>
        </w:tc>
        <w:tc>
          <w:tcPr>
            <w:tcW w:w="792"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w:t>
            </w:r>
            <w:r>
              <w:rPr>
                <w:rFonts w:ascii="仿宋_GB2312" w:hAnsi="仿宋_GB2312" w:eastAsia="仿宋_GB2312" w:cs="仿宋_GB2312"/>
                <w:sz w:val="24"/>
                <w:szCs w:val="24"/>
                <w:lang w:bidi="ar"/>
              </w:rPr>
              <w:t>00</w:t>
            </w:r>
            <w:r>
              <w:rPr>
                <w:rFonts w:hint="eastAsia" w:ascii="仿宋_GB2312" w:hAnsi="仿宋_GB2312" w:eastAsia="仿宋_GB2312" w:cs="仿宋_GB2312"/>
                <w:sz w:val="24"/>
                <w:szCs w:val="24"/>
                <w:lang w:bidi="ar"/>
              </w:rPr>
              <w:t>.00</w:t>
            </w:r>
          </w:p>
        </w:tc>
        <w:tc>
          <w:tcPr>
            <w:tcW w:w="684"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13"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321" w:type="pct"/>
            <w:vAlign w:val="center"/>
          </w:tcPr>
          <w:p>
            <w:pP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bidi="ar"/>
              </w:rPr>
              <w:t>广东省樟木头林场</w:t>
            </w:r>
          </w:p>
        </w:tc>
        <w:tc>
          <w:tcPr>
            <w:tcW w:w="1787"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用于广东省樟木头林场公益林示范区建设</w:t>
            </w:r>
          </w:p>
        </w:tc>
        <w:tc>
          <w:tcPr>
            <w:tcW w:w="792" w:type="pct"/>
            <w:vAlign w:val="center"/>
          </w:tcPr>
          <w:p>
            <w:pPr>
              <w:jc w:val="center"/>
              <w:textAlignment w:val="center"/>
              <w:rPr>
                <w:rFonts w:ascii="仿宋_GB2312" w:hAnsi="仿宋_GB2312" w:eastAsia="仿宋_GB2312" w:cs="仿宋_GB2312"/>
                <w:sz w:val="24"/>
                <w:szCs w:val="24"/>
                <w:lang w:bidi="ar"/>
              </w:rPr>
            </w:pPr>
            <w:r>
              <w:rPr>
                <w:rFonts w:ascii="仿宋_GB2312" w:hAnsi="仿宋_GB2312" w:eastAsia="仿宋_GB2312" w:cs="仿宋_GB2312"/>
                <w:sz w:val="24"/>
                <w:szCs w:val="24"/>
                <w:lang w:bidi="ar"/>
              </w:rPr>
              <w:t>20</w:t>
            </w:r>
            <w:r>
              <w:rPr>
                <w:rFonts w:hint="eastAsia" w:ascii="仿宋_GB2312" w:hAnsi="仿宋_GB2312" w:eastAsia="仿宋_GB2312" w:cs="仿宋_GB2312"/>
                <w:sz w:val="24"/>
                <w:szCs w:val="24"/>
                <w:lang w:bidi="ar"/>
              </w:rPr>
              <w:t>0.00</w:t>
            </w:r>
          </w:p>
        </w:tc>
        <w:tc>
          <w:tcPr>
            <w:tcW w:w="684"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413"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321" w:type="pct"/>
            <w:vAlign w:val="center"/>
          </w:tcPr>
          <w:p>
            <w:pPr>
              <w:textAlignment w:val="center"/>
              <w:rPr>
                <w:rFonts w:ascii="仿宋_GB2312" w:hAnsi="仿宋_GB2312" w:eastAsia="仿宋_GB2312" w:cs="仿宋_GB2312"/>
                <w:sz w:val="24"/>
                <w:szCs w:val="24"/>
              </w:rPr>
            </w:pPr>
            <w:r>
              <w:rPr>
                <w:rFonts w:hint="eastAsia" w:ascii="仿宋_GB2312" w:hAnsi="仿宋_GB2312" w:eastAsia="仿宋_GB2312" w:cs="仿宋_GB2312"/>
                <w:spacing w:val="-11"/>
                <w:sz w:val="24"/>
                <w:szCs w:val="24"/>
                <w:lang w:bidi="ar"/>
              </w:rPr>
              <w:t>广东潮安凤凰山省级自然保护区管理处</w:t>
            </w:r>
          </w:p>
        </w:tc>
        <w:tc>
          <w:tcPr>
            <w:tcW w:w="1787"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pacing w:val="-11"/>
                <w:sz w:val="24"/>
                <w:szCs w:val="24"/>
                <w:lang w:bidi="ar"/>
              </w:rPr>
              <w:t>用于广东潮安凤凰山省级自然保护区公益林示范区建设</w:t>
            </w:r>
          </w:p>
        </w:tc>
        <w:tc>
          <w:tcPr>
            <w:tcW w:w="792"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20</w:t>
            </w:r>
            <w:r>
              <w:rPr>
                <w:rFonts w:ascii="仿宋_GB2312" w:hAnsi="仿宋_GB2312" w:eastAsia="仿宋_GB2312" w:cs="仿宋_GB2312"/>
                <w:sz w:val="24"/>
                <w:szCs w:val="24"/>
                <w:lang w:bidi="ar"/>
              </w:rPr>
              <w:t>0</w:t>
            </w:r>
            <w:r>
              <w:rPr>
                <w:rFonts w:hint="eastAsia" w:ascii="仿宋_GB2312" w:hAnsi="仿宋_GB2312" w:eastAsia="仿宋_GB2312" w:cs="仿宋_GB2312"/>
                <w:sz w:val="24"/>
                <w:szCs w:val="24"/>
                <w:lang w:bidi="ar"/>
              </w:rPr>
              <w:t>.00</w:t>
            </w:r>
          </w:p>
        </w:tc>
        <w:tc>
          <w:tcPr>
            <w:tcW w:w="684"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pacing w:val="-11"/>
                <w:sz w:val="24"/>
                <w:lang w:val="en-US" w:eastAsia="zh-CN"/>
              </w:rPr>
              <w:t>基本</w:t>
            </w:r>
            <w:r>
              <w:rPr>
                <w:rFonts w:hint="eastAsia" w:ascii="仿宋_GB2312" w:hAnsi="仿宋_GB2312" w:eastAsia="仿宋_GB2312" w:cs="仿宋_GB2312"/>
                <w:spacing w:val="-11"/>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13"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321" w:type="pct"/>
            <w:vAlign w:val="center"/>
          </w:tcPr>
          <w:p>
            <w:pPr>
              <w:textAlignment w:val="center"/>
              <w:rPr>
                <w:rFonts w:ascii="仿宋_GB2312" w:hAnsi="仿宋_GB2312" w:eastAsia="仿宋_GB2312" w:cs="仿宋_GB2312"/>
                <w:sz w:val="24"/>
                <w:szCs w:val="24"/>
              </w:rPr>
            </w:pPr>
            <w:r>
              <w:rPr>
                <w:rFonts w:hint="eastAsia" w:ascii="仿宋_GB2312" w:hAnsi="仿宋_GB2312" w:eastAsia="仿宋_GB2312" w:cs="仿宋_GB2312"/>
                <w:spacing w:val="-11"/>
                <w:sz w:val="24"/>
                <w:szCs w:val="24"/>
                <w:lang w:bidi="ar"/>
              </w:rPr>
              <w:t>河源市新丰江林管局</w:t>
            </w:r>
          </w:p>
        </w:tc>
        <w:tc>
          <w:tcPr>
            <w:tcW w:w="1787"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pacing w:val="-6"/>
                <w:sz w:val="24"/>
                <w:szCs w:val="24"/>
                <w:lang w:bidi="ar"/>
              </w:rPr>
              <w:t>用于锡场公益林示范区建设</w:t>
            </w:r>
          </w:p>
        </w:tc>
        <w:tc>
          <w:tcPr>
            <w:tcW w:w="792" w:type="pct"/>
            <w:vAlign w:val="center"/>
          </w:tcPr>
          <w:p>
            <w:pPr>
              <w:jc w:val="center"/>
              <w:textAlignment w:val="center"/>
              <w:rPr>
                <w:rFonts w:ascii="仿宋_GB2312" w:hAnsi="仿宋_GB2312" w:eastAsia="仿宋_GB2312" w:cs="仿宋_GB2312"/>
                <w:sz w:val="24"/>
                <w:szCs w:val="24"/>
                <w:lang w:bidi="ar"/>
              </w:rPr>
            </w:pPr>
            <w:r>
              <w:rPr>
                <w:rFonts w:ascii="仿宋_GB2312" w:hAnsi="仿宋_GB2312" w:eastAsia="仿宋_GB2312" w:cs="仿宋_GB2312"/>
                <w:sz w:val="24"/>
                <w:szCs w:val="24"/>
                <w:lang w:bidi="ar"/>
              </w:rPr>
              <w:t>20</w:t>
            </w:r>
            <w:r>
              <w:rPr>
                <w:rFonts w:hint="eastAsia" w:ascii="仿宋_GB2312" w:hAnsi="仿宋_GB2312" w:eastAsia="仿宋_GB2312" w:cs="仿宋_GB2312"/>
                <w:sz w:val="24"/>
                <w:szCs w:val="24"/>
                <w:lang w:bidi="ar"/>
              </w:rPr>
              <w:t>0.00</w:t>
            </w:r>
          </w:p>
        </w:tc>
        <w:tc>
          <w:tcPr>
            <w:tcW w:w="684"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未完成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13"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321" w:type="pct"/>
            <w:vAlign w:val="center"/>
          </w:tcPr>
          <w:p>
            <w:pP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bidi="ar"/>
              </w:rPr>
              <w:t>惠州市本级</w:t>
            </w:r>
          </w:p>
        </w:tc>
        <w:tc>
          <w:tcPr>
            <w:tcW w:w="1787"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用于国有梁化林场公益林示范区建设</w:t>
            </w:r>
          </w:p>
        </w:tc>
        <w:tc>
          <w:tcPr>
            <w:tcW w:w="792" w:type="pct"/>
            <w:vAlign w:val="center"/>
          </w:tcPr>
          <w:p>
            <w:pPr>
              <w:jc w:val="center"/>
              <w:textAlignment w:val="center"/>
              <w:rPr>
                <w:rFonts w:ascii="仿宋_GB2312" w:hAnsi="仿宋_GB2312" w:eastAsia="仿宋_GB2312" w:cs="仿宋_GB2312"/>
                <w:sz w:val="24"/>
                <w:szCs w:val="24"/>
                <w:lang w:bidi="ar"/>
              </w:rPr>
            </w:pPr>
            <w:r>
              <w:rPr>
                <w:rFonts w:ascii="仿宋_GB2312" w:hAnsi="仿宋_GB2312" w:eastAsia="仿宋_GB2312" w:cs="仿宋_GB2312"/>
                <w:sz w:val="24"/>
                <w:szCs w:val="24"/>
                <w:lang w:bidi="ar"/>
              </w:rPr>
              <w:t>20</w:t>
            </w:r>
            <w:r>
              <w:rPr>
                <w:rFonts w:hint="eastAsia" w:ascii="仿宋_GB2312" w:hAnsi="仿宋_GB2312" w:eastAsia="仿宋_GB2312" w:cs="仿宋_GB2312"/>
                <w:sz w:val="24"/>
                <w:szCs w:val="24"/>
                <w:lang w:bidi="ar"/>
              </w:rPr>
              <w:t>0.00</w:t>
            </w:r>
          </w:p>
        </w:tc>
        <w:tc>
          <w:tcPr>
            <w:tcW w:w="684"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pacing w:val="-11"/>
                <w:sz w:val="24"/>
                <w:lang w:val="en-US" w:eastAsia="zh-CN"/>
              </w:rPr>
              <w:t>未</w:t>
            </w:r>
            <w:r>
              <w:rPr>
                <w:rFonts w:hint="eastAsia" w:ascii="仿宋_GB2312" w:hAnsi="仿宋_GB2312" w:eastAsia="仿宋_GB2312" w:cs="仿宋_GB2312"/>
                <w:spacing w:val="-11"/>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13"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321" w:type="pct"/>
            <w:vAlign w:val="center"/>
          </w:tcPr>
          <w:p>
            <w:pP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bidi="ar"/>
              </w:rPr>
              <w:t>惠州市本级</w:t>
            </w:r>
          </w:p>
        </w:tc>
        <w:tc>
          <w:tcPr>
            <w:tcW w:w="1787"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用于国有象头山林场公益林示范区建设</w:t>
            </w:r>
          </w:p>
        </w:tc>
        <w:tc>
          <w:tcPr>
            <w:tcW w:w="792" w:type="pct"/>
            <w:vAlign w:val="center"/>
          </w:tcPr>
          <w:p>
            <w:pPr>
              <w:jc w:val="center"/>
              <w:textAlignment w:val="center"/>
              <w:rPr>
                <w:rFonts w:ascii="仿宋_GB2312" w:hAnsi="仿宋_GB2312" w:eastAsia="仿宋_GB2312" w:cs="仿宋_GB2312"/>
                <w:sz w:val="24"/>
                <w:szCs w:val="24"/>
                <w:lang w:bidi="ar"/>
              </w:rPr>
            </w:pPr>
            <w:r>
              <w:rPr>
                <w:rFonts w:ascii="仿宋_GB2312" w:hAnsi="仿宋_GB2312" w:eastAsia="仿宋_GB2312" w:cs="仿宋_GB2312"/>
                <w:sz w:val="24"/>
                <w:szCs w:val="24"/>
                <w:lang w:bidi="ar"/>
              </w:rPr>
              <w:t>2</w:t>
            </w:r>
            <w:r>
              <w:rPr>
                <w:rFonts w:hint="eastAsia" w:ascii="仿宋_GB2312" w:hAnsi="仿宋_GB2312" w:eastAsia="仿宋_GB2312" w:cs="仿宋_GB2312"/>
                <w:sz w:val="24"/>
                <w:szCs w:val="24"/>
                <w:lang w:bidi="ar"/>
              </w:rPr>
              <w:t>00.00</w:t>
            </w:r>
          </w:p>
        </w:tc>
        <w:tc>
          <w:tcPr>
            <w:tcW w:w="684" w:type="pct"/>
            <w:vAlign w:val="center"/>
          </w:tcPr>
          <w:p>
            <w:pPr>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lang w:val="en-US" w:eastAsia="zh-CN"/>
              </w:rPr>
              <w:t>已</w:t>
            </w:r>
            <w:r>
              <w:rPr>
                <w:rFonts w:hint="eastAsia" w:ascii="仿宋_GB2312" w:hAnsi="仿宋_GB2312" w:eastAsia="仿宋_GB2312" w:cs="仿宋_GB2312"/>
                <w:spacing w:val="-11"/>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13"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1321" w:type="pct"/>
            <w:vAlign w:val="center"/>
          </w:tcPr>
          <w:p>
            <w:pPr>
              <w:textAlignment w:val="center"/>
              <w:rPr>
                <w:rFonts w:ascii="仿宋_GB2312" w:hAnsi="仿宋_GB2312" w:eastAsia="仿宋_GB2312" w:cs="仿宋_GB2312"/>
                <w:sz w:val="24"/>
                <w:szCs w:val="24"/>
              </w:rPr>
            </w:pPr>
            <w:r>
              <w:rPr>
                <w:rFonts w:hint="eastAsia" w:ascii="仿宋_GB2312" w:hAnsi="仿宋_GB2312" w:eastAsia="仿宋_GB2312" w:cs="仿宋_GB2312"/>
                <w:sz w:val="24"/>
                <w:szCs w:val="24"/>
                <w:lang w:bidi="ar"/>
              </w:rPr>
              <w:t>惠州市惠东县</w:t>
            </w:r>
          </w:p>
        </w:tc>
        <w:tc>
          <w:tcPr>
            <w:tcW w:w="1787"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pacing w:val="-17"/>
                <w:sz w:val="24"/>
                <w:szCs w:val="24"/>
                <w:lang w:bidi="ar"/>
              </w:rPr>
              <w:t>用于乌禽嶂公益林示范区建设</w:t>
            </w:r>
          </w:p>
        </w:tc>
        <w:tc>
          <w:tcPr>
            <w:tcW w:w="792" w:type="pct"/>
            <w:vAlign w:val="center"/>
          </w:tcPr>
          <w:p>
            <w:pPr>
              <w:jc w:val="center"/>
              <w:textAlignment w:val="center"/>
              <w:rPr>
                <w:rFonts w:ascii="仿宋_GB2312" w:hAnsi="仿宋_GB2312" w:eastAsia="仿宋_GB2312" w:cs="仿宋_GB2312"/>
                <w:sz w:val="24"/>
                <w:szCs w:val="24"/>
                <w:lang w:bidi="ar"/>
              </w:rPr>
            </w:pPr>
            <w:r>
              <w:rPr>
                <w:rFonts w:ascii="仿宋_GB2312" w:hAnsi="仿宋_GB2312" w:eastAsia="仿宋_GB2312" w:cs="仿宋_GB2312"/>
                <w:sz w:val="24"/>
                <w:szCs w:val="24"/>
                <w:lang w:bidi="ar"/>
              </w:rPr>
              <w:t>2</w:t>
            </w:r>
            <w:r>
              <w:rPr>
                <w:rFonts w:hint="eastAsia" w:ascii="仿宋_GB2312" w:hAnsi="仿宋_GB2312" w:eastAsia="仿宋_GB2312" w:cs="仿宋_GB2312"/>
                <w:sz w:val="24"/>
                <w:szCs w:val="24"/>
                <w:lang w:bidi="ar"/>
              </w:rPr>
              <w:t>00.00</w:t>
            </w:r>
          </w:p>
        </w:tc>
        <w:tc>
          <w:tcPr>
            <w:tcW w:w="684" w:type="pct"/>
            <w:vAlign w:val="center"/>
          </w:tcPr>
          <w:p>
            <w:pPr>
              <w:jc w:val="center"/>
              <w:rPr>
                <w:rFonts w:ascii="仿宋_GB2312" w:hAnsi="仿宋_GB2312" w:eastAsia="仿宋_GB2312" w:cs="仿宋_GB2312"/>
                <w:spacing w:val="-11"/>
                <w:sz w:val="24"/>
              </w:rPr>
            </w:pPr>
            <w:r>
              <w:rPr>
                <w:rFonts w:hint="eastAsia" w:ascii="仿宋_GB2312" w:hAnsi="仿宋_GB2312" w:eastAsia="仿宋_GB2312" w:cs="仿宋_GB2312"/>
                <w:spacing w:val="-11"/>
                <w:sz w:val="24"/>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13"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321" w:type="pct"/>
            <w:vAlign w:val="center"/>
          </w:tcPr>
          <w:p>
            <w:pP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阳江市本级</w:t>
            </w:r>
          </w:p>
        </w:tc>
        <w:tc>
          <w:tcPr>
            <w:tcW w:w="1787"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用于国有花滩林场公益林示范区建设</w:t>
            </w:r>
          </w:p>
        </w:tc>
        <w:tc>
          <w:tcPr>
            <w:tcW w:w="792"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w:t>
            </w:r>
            <w:r>
              <w:rPr>
                <w:rFonts w:ascii="仿宋_GB2312" w:hAnsi="仿宋_GB2312" w:eastAsia="仿宋_GB2312" w:cs="仿宋_GB2312"/>
                <w:sz w:val="24"/>
                <w:szCs w:val="24"/>
                <w:lang w:bidi="ar"/>
              </w:rPr>
              <w:t>00.00</w:t>
            </w:r>
          </w:p>
        </w:tc>
        <w:tc>
          <w:tcPr>
            <w:tcW w:w="684"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13"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1321" w:type="pct"/>
            <w:vAlign w:val="center"/>
          </w:tcPr>
          <w:p>
            <w:pP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湛江市雷州市</w:t>
            </w:r>
          </w:p>
        </w:tc>
        <w:tc>
          <w:tcPr>
            <w:tcW w:w="1787"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pacing w:val="-17"/>
                <w:sz w:val="24"/>
                <w:szCs w:val="24"/>
                <w:lang w:bidi="ar"/>
              </w:rPr>
              <w:t>用于雷高镇公益林示范区建设</w:t>
            </w:r>
          </w:p>
        </w:tc>
        <w:tc>
          <w:tcPr>
            <w:tcW w:w="792"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w:t>
            </w:r>
            <w:r>
              <w:rPr>
                <w:rFonts w:ascii="仿宋_GB2312" w:hAnsi="仿宋_GB2312" w:eastAsia="仿宋_GB2312" w:cs="仿宋_GB2312"/>
                <w:sz w:val="24"/>
                <w:szCs w:val="24"/>
                <w:lang w:bidi="ar"/>
              </w:rPr>
              <w:t>00.00</w:t>
            </w:r>
          </w:p>
        </w:tc>
        <w:tc>
          <w:tcPr>
            <w:tcW w:w="684"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13"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1321" w:type="pct"/>
            <w:vAlign w:val="center"/>
          </w:tcPr>
          <w:p>
            <w:pP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茂名市本级</w:t>
            </w:r>
          </w:p>
        </w:tc>
        <w:tc>
          <w:tcPr>
            <w:tcW w:w="1787"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用于河尾山市级自然保护区公益林示范区建设</w:t>
            </w:r>
          </w:p>
        </w:tc>
        <w:tc>
          <w:tcPr>
            <w:tcW w:w="792"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w:t>
            </w:r>
            <w:r>
              <w:rPr>
                <w:rFonts w:ascii="仿宋_GB2312" w:hAnsi="仿宋_GB2312" w:eastAsia="仿宋_GB2312" w:cs="仿宋_GB2312"/>
                <w:sz w:val="24"/>
                <w:szCs w:val="24"/>
                <w:lang w:bidi="ar"/>
              </w:rPr>
              <w:t>00.00</w:t>
            </w:r>
          </w:p>
        </w:tc>
        <w:tc>
          <w:tcPr>
            <w:tcW w:w="684"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pacing w:val="-11"/>
                <w:sz w:val="24"/>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13"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1321" w:type="pct"/>
            <w:vAlign w:val="center"/>
          </w:tcPr>
          <w:p>
            <w:pP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广州市花都区</w:t>
            </w:r>
          </w:p>
        </w:tc>
        <w:tc>
          <w:tcPr>
            <w:tcW w:w="1787"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用于梯面林场公益林示范区建设</w:t>
            </w:r>
          </w:p>
        </w:tc>
        <w:tc>
          <w:tcPr>
            <w:tcW w:w="792"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w:t>
            </w:r>
            <w:r>
              <w:rPr>
                <w:rFonts w:ascii="仿宋_GB2312" w:hAnsi="仿宋_GB2312" w:eastAsia="仿宋_GB2312" w:cs="仿宋_GB2312"/>
                <w:sz w:val="24"/>
                <w:szCs w:val="24"/>
                <w:lang w:bidi="ar"/>
              </w:rPr>
              <w:t>00.00</w:t>
            </w:r>
          </w:p>
        </w:tc>
        <w:tc>
          <w:tcPr>
            <w:tcW w:w="684"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pacing w:val="-11"/>
                <w:sz w:val="24"/>
                <w:lang w:val="en-US" w:eastAsia="zh-CN"/>
              </w:rPr>
              <w:t>基本</w:t>
            </w:r>
            <w:r>
              <w:rPr>
                <w:rFonts w:hint="eastAsia" w:ascii="仿宋_GB2312" w:hAnsi="仿宋_GB2312" w:eastAsia="仿宋_GB2312" w:cs="仿宋_GB2312"/>
                <w:spacing w:val="-11"/>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13"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1321" w:type="pct"/>
            <w:vAlign w:val="center"/>
          </w:tcPr>
          <w:p>
            <w:pP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韶关市乳源县</w:t>
            </w:r>
          </w:p>
        </w:tc>
        <w:tc>
          <w:tcPr>
            <w:tcW w:w="1787"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用于西京古道国家石漠公园公益林示范区建设</w:t>
            </w:r>
          </w:p>
        </w:tc>
        <w:tc>
          <w:tcPr>
            <w:tcW w:w="792"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w:t>
            </w:r>
            <w:r>
              <w:rPr>
                <w:rFonts w:ascii="仿宋_GB2312" w:hAnsi="仿宋_GB2312" w:eastAsia="仿宋_GB2312" w:cs="仿宋_GB2312"/>
                <w:sz w:val="24"/>
                <w:szCs w:val="24"/>
                <w:lang w:bidi="ar"/>
              </w:rPr>
              <w:t>00.00</w:t>
            </w:r>
          </w:p>
        </w:tc>
        <w:tc>
          <w:tcPr>
            <w:tcW w:w="684" w:type="pct"/>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13"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13</w:t>
            </w:r>
          </w:p>
        </w:tc>
        <w:tc>
          <w:tcPr>
            <w:tcW w:w="1321" w:type="pct"/>
            <w:vAlign w:val="center"/>
          </w:tcPr>
          <w:p>
            <w:pP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韶关市南雄市</w:t>
            </w:r>
          </w:p>
        </w:tc>
        <w:tc>
          <w:tcPr>
            <w:tcW w:w="1787"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用于鸦子寨公益林示范区建设</w:t>
            </w:r>
          </w:p>
        </w:tc>
        <w:tc>
          <w:tcPr>
            <w:tcW w:w="792"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w:t>
            </w:r>
            <w:r>
              <w:rPr>
                <w:rFonts w:ascii="仿宋_GB2312" w:hAnsi="仿宋_GB2312" w:eastAsia="仿宋_GB2312" w:cs="仿宋_GB2312"/>
                <w:sz w:val="24"/>
                <w:szCs w:val="24"/>
                <w:lang w:bidi="ar"/>
              </w:rPr>
              <w:t>00.00</w:t>
            </w:r>
          </w:p>
        </w:tc>
        <w:tc>
          <w:tcPr>
            <w:tcW w:w="684" w:type="pct"/>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13"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14</w:t>
            </w:r>
          </w:p>
        </w:tc>
        <w:tc>
          <w:tcPr>
            <w:tcW w:w="1321" w:type="pct"/>
            <w:vAlign w:val="center"/>
          </w:tcPr>
          <w:p>
            <w:pP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韶关市仁化县</w:t>
            </w:r>
          </w:p>
        </w:tc>
        <w:tc>
          <w:tcPr>
            <w:tcW w:w="1787"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用于锦江两岸公益林示范区建设</w:t>
            </w:r>
          </w:p>
        </w:tc>
        <w:tc>
          <w:tcPr>
            <w:tcW w:w="792"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2</w:t>
            </w:r>
            <w:r>
              <w:rPr>
                <w:rFonts w:ascii="仿宋_GB2312" w:hAnsi="仿宋_GB2312" w:eastAsia="仿宋_GB2312" w:cs="仿宋_GB2312"/>
                <w:sz w:val="24"/>
                <w:szCs w:val="24"/>
                <w:lang w:bidi="ar"/>
              </w:rPr>
              <w:t>00.00</w:t>
            </w:r>
          </w:p>
        </w:tc>
        <w:tc>
          <w:tcPr>
            <w:tcW w:w="684"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13"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1321" w:type="pct"/>
            <w:vAlign w:val="center"/>
          </w:tcPr>
          <w:p>
            <w:pP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阳江市阳春市</w:t>
            </w:r>
          </w:p>
        </w:tc>
        <w:tc>
          <w:tcPr>
            <w:tcW w:w="1787"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用于东湖水库生态公益林示范区</w:t>
            </w:r>
          </w:p>
        </w:tc>
        <w:tc>
          <w:tcPr>
            <w:tcW w:w="792"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4</w:t>
            </w:r>
            <w:r>
              <w:rPr>
                <w:rFonts w:ascii="仿宋_GB2312" w:hAnsi="仿宋_GB2312" w:eastAsia="仿宋_GB2312" w:cs="仿宋_GB2312"/>
                <w:sz w:val="24"/>
                <w:szCs w:val="24"/>
                <w:lang w:bidi="ar"/>
              </w:rPr>
              <w:t>50.00</w:t>
            </w:r>
          </w:p>
        </w:tc>
        <w:tc>
          <w:tcPr>
            <w:tcW w:w="684" w:type="pct"/>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未</w:t>
            </w:r>
            <w:r>
              <w:rPr>
                <w:rFonts w:hint="eastAsia" w:ascii="仿宋_GB2312" w:hAnsi="仿宋_GB2312" w:eastAsia="仿宋_GB2312" w:cs="仿宋_GB2312"/>
                <w:sz w:val="24"/>
                <w:highlight w:val="none"/>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13" w:type="pc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16</w:t>
            </w:r>
          </w:p>
        </w:tc>
        <w:tc>
          <w:tcPr>
            <w:tcW w:w="1321" w:type="pct"/>
            <w:vAlign w:val="center"/>
          </w:tcPr>
          <w:p>
            <w:pP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清远市连南县</w:t>
            </w:r>
          </w:p>
        </w:tc>
        <w:tc>
          <w:tcPr>
            <w:tcW w:w="1787"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用于万山朝王国家石漠公园公益林范区建设</w:t>
            </w:r>
          </w:p>
        </w:tc>
        <w:tc>
          <w:tcPr>
            <w:tcW w:w="792" w:type="pct"/>
            <w:vAlign w:val="center"/>
          </w:tcPr>
          <w:p>
            <w:pPr>
              <w:jc w:val="center"/>
              <w:textAlignment w:val="center"/>
              <w:rPr>
                <w:rFonts w:ascii="仿宋_GB2312" w:hAnsi="仿宋_GB2312" w:eastAsia="仿宋_GB2312" w:cs="仿宋_GB2312"/>
                <w:sz w:val="24"/>
                <w:szCs w:val="24"/>
                <w:lang w:bidi="ar"/>
              </w:rPr>
            </w:pPr>
            <w:r>
              <w:rPr>
                <w:rFonts w:hint="eastAsia" w:ascii="仿宋_GB2312" w:hAnsi="仿宋_GB2312" w:eastAsia="仿宋_GB2312" w:cs="仿宋_GB2312"/>
                <w:sz w:val="24"/>
                <w:szCs w:val="24"/>
                <w:lang w:bidi="ar"/>
              </w:rPr>
              <w:t>4</w:t>
            </w:r>
            <w:r>
              <w:rPr>
                <w:rFonts w:ascii="仿宋_GB2312" w:hAnsi="仿宋_GB2312" w:eastAsia="仿宋_GB2312" w:cs="仿宋_GB2312"/>
                <w:sz w:val="24"/>
                <w:szCs w:val="24"/>
                <w:lang w:bidi="ar"/>
              </w:rPr>
              <w:t>50.00</w:t>
            </w:r>
          </w:p>
        </w:tc>
        <w:tc>
          <w:tcPr>
            <w:tcW w:w="684" w:type="pct"/>
            <w:vAlign w:val="center"/>
          </w:tcPr>
          <w:p>
            <w:pPr>
              <w:jc w:val="center"/>
              <w:rPr>
                <w:rFonts w:ascii="仿宋_GB2312" w:hAnsi="仿宋_GB2312" w:eastAsia="仿宋_GB2312" w:cs="仿宋_GB2312"/>
                <w:sz w:val="24"/>
                <w:highlight w:val="none"/>
              </w:rPr>
            </w:pPr>
            <w:r>
              <w:rPr>
                <w:rFonts w:hint="eastAsia" w:ascii="仿宋_GB2312" w:hAnsi="仿宋_GB2312" w:eastAsia="仿宋_GB2312" w:cs="仿宋_GB2312"/>
                <w:spacing w:val="-11"/>
                <w:sz w:val="24"/>
                <w:highlight w:val="none"/>
                <w:lang w:val="en-US" w:eastAsia="zh-CN"/>
              </w:rPr>
              <w:t>未</w:t>
            </w:r>
            <w:r>
              <w:rPr>
                <w:rFonts w:hint="eastAsia" w:ascii="仿宋_GB2312" w:hAnsi="仿宋_GB2312" w:eastAsia="仿宋_GB2312" w:cs="仿宋_GB2312"/>
                <w:spacing w:val="-11"/>
                <w:sz w:val="24"/>
                <w:highlight w:val="none"/>
              </w:rPr>
              <w:t>完成</w:t>
            </w:r>
          </w:p>
        </w:tc>
      </w:tr>
    </w:tbl>
    <w:p>
      <w:pPr>
        <w:widowControl w:val="0"/>
        <w:autoSpaceDN/>
        <w:adjustRightInd/>
        <w:snapToGrid/>
        <w:spacing w:before="156" w:beforeLines="50" w:line="360" w:lineRule="auto"/>
        <w:ind w:firstLine="643" w:firstLineChars="200"/>
        <w:textAlignment w:val="auto"/>
        <w:rPr>
          <w:rFonts w:ascii="仿宋_GB2312" w:hAnsi="仿宋_GB2312" w:eastAsia="仿宋_GB2312" w:cs="仿宋_GB2312"/>
          <w:b/>
          <w:bCs/>
          <w:sz w:val="32"/>
          <w:szCs w:val="32"/>
          <w:lang w:bidi="ar"/>
        </w:rPr>
      </w:pPr>
      <w:r>
        <w:rPr>
          <w:rFonts w:ascii="仿宋_GB2312" w:hAnsi="仿宋_GB2312" w:eastAsia="仿宋_GB2312" w:cs="仿宋_GB2312"/>
          <w:b/>
          <w:bCs/>
          <w:sz w:val="32"/>
          <w:szCs w:val="32"/>
          <w:lang w:bidi="ar"/>
        </w:rPr>
        <w:t>②</w:t>
      </w:r>
      <w:r>
        <w:rPr>
          <w:rFonts w:hint="eastAsia" w:ascii="仿宋_GB2312" w:hAnsi="仿宋_GB2312" w:eastAsia="仿宋_GB2312" w:cs="仿宋_GB2312"/>
          <w:b/>
          <w:bCs/>
          <w:sz w:val="32"/>
          <w:szCs w:val="32"/>
          <w:lang w:bidi="ar"/>
        </w:rPr>
        <w:t>质量指标</w:t>
      </w:r>
    </w:p>
    <w:p>
      <w:pPr>
        <w:widowControl w:val="0"/>
        <w:adjustRightInd/>
        <w:snapToGrid/>
        <w:spacing w:line="360" w:lineRule="auto"/>
        <w:ind w:firstLine="643" w:firstLineChars="200"/>
        <w:jc w:val="both"/>
        <w:rPr>
          <w:rFonts w:ascii="仿宋_GB2312" w:hAnsi="仿宋_GB2312" w:eastAsia="仿宋_GB2312" w:cs="仿宋_GB2312"/>
          <w:bCs/>
          <w:color w:val="auto"/>
          <w:kern w:val="2"/>
          <w:sz w:val="32"/>
          <w:szCs w:val="32"/>
          <w:lang w:bidi="ar"/>
        </w:rPr>
      </w:pPr>
      <w:r>
        <w:rPr>
          <w:rFonts w:hint="eastAsia" w:ascii="仿宋_GB2312" w:hAnsi="仿宋_GB2312" w:eastAsia="仿宋_GB2312" w:cs="仿宋_GB2312"/>
          <w:b/>
          <w:color w:val="auto"/>
          <w:kern w:val="2"/>
          <w:sz w:val="32"/>
          <w:szCs w:val="32"/>
          <w:lang w:bidi="ar"/>
        </w:rPr>
        <w:t>“公益林管护水平”。</w:t>
      </w:r>
      <w:r>
        <w:rPr>
          <w:rFonts w:hint="eastAsia" w:ascii="仿宋_GB2312" w:hAnsi="仿宋_GB2312" w:eastAsia="仿宋_GB2312" w:cs="仿宋_GB2312"/>
          <w:bCs/>
          <w:color w:val="auto"/>
          <w:kern w:val="2"/>
          <w:sz w:val="32"/>
          <w:szCs w:val="32"/>
          <w:lang w:bidi="ar"/>
        </w:rPr>
        <w:t>根据广东省公益林总面积6747.94万亩，广东省公益林专题监测系统中护林员统计的总人数32912人，计算得出平均每2050亩一名管护人员。该指标分值7分，自评得分</w:t>
      </w:r>
      <w:r>
        <w:rPr>
          <w:rFonts w:hint="eastAsia" w:ascii="仿宋_GB2312" w:hAnsi="仿宋_GB2312" w:eastAsia="仿宋_GB2312" w:cs="仿宋_GB2312"/>
          <w:bCs/>
          <w:color w:val="auto"/>
          <w:kern w:val="2"/>
          <w:sz w:val="32"/>
          <w:szCs w:val="32"/>
          <w:lang w:val="en-US" w:eastAsia="zh-CN" w:bidi="ar"/>
        </w:rPr>
        <w:t>7</w:t>
      </w:r>
      <w:r>
        <w:rPr>
          <w:rFonts w:hint="eastAsia" w:ascii="仿宋_GB2312" w:hAnsi="仿宋_GB2312" w:eastAsia="仿宋_GB2312" w:cs="仿宋_GB2312"/>
          <w:bCs/>
          <w:color w:val="auto"/>
          <w:kern w:val="2"/>
          <w:sz w:val="32"/>
          <w:szCs w:val="32"/>
          <w:lang w:bidi="ar"/>
        </w:rPr>
        <w:t>分，得分率为</w:t>
      </w:r>
      <w:r>
        <w:rPr>
          <w:rFonts w:hint="eastAsia" w:ascii="仿宋_GB2312" w:hAnsi="仿宋_GB2312" w:eastAsia="仿宋_GB2312" w:cs="仿宋_GB2312"/>
          <w:bCs/>
          <w:color w:val="auto"/>
          <w:kern w:val="2"/>
          <w:sz w:val="32"/>
          <w:szCs w:val="32"/>
          <w:lang w:val="en-US" w:eastAsia="zh-CN" w:bidi="ar"/>
        </w:rPr>
        <w:t>100</w:t>
      </w:r>
      <w:r>
        <w:rPr>
          <w:rFonts w:hint="eastAsia" w:ascii="仿宋_GB2312" w:hAnsi="仿宋_GB2312" w:eastAsia="仿宋_GB2312" w:cs="仿宋_GB2312"/>
          <w:bCs/>
          <w:color w:val="auto"/>
          <w:kern w:val="2"/>
          <w:sz w:val="32"/>
          <w:szCs w:val="32"/>
          <w:lang w:bidi="ar"/>
        </w:rPr>
        <w:t>%。</w:t>
      </w:r>
    </w:p>
    <w:p>
      <w:pPr>
        <w:pStyle w:val="15"/>
        <w:widowControl w:val="0"/>
        <w:adjustRightInd/>
        <w:snapToGrid/>
        <w:spacing w:after="0"/>
        <w:ind w:left="0" w:leftChars="0" w:firstLine="640"/>
        <w:rPr>
          <w:rFonts w:cs="仿宋_GB2312"/>
          <w:b/>
          <w:bCs/>
          <w:szCs w:val="32"/>
          <w:lang w:bidi="ar"/>
        </w:rPr>
      </w:pPr>
      <w:r>
        <w:rPr>
          <w:rFonts w:cs="仿宋_GB2312"/>
          <w:b/>
          <w:bCs/>
          <w:szCs w:val="32"/>
          <w:lang w:bidi="ar"/>
        </w:rPr>
        <w:t>③</w:t>
      </w:r>
      <w:r>
        <w:rPr>
          <w:rFonts w:hint="eastAsia" w:cs="仿宋_GB2312"/>
          <w:b/>
          <w:bCs/>
          <w:szCs w:val="32"/>
          <w:lang w:bidi="ar"/>
        </w:rPr>
        <w:t>时效指标</w:t>
      </w:r>
    </w:p>
    <w:p>
      <w:pPr>
        <w:widowControl w:val="0"/>
        <w:adjustRightInd/>
        <w:snapToGrid/>
        <w:spacing w:line="360" w:lineRule="auto"/>
        <w:ind w:firstLine="643" w:firstLineChars="200"/>
        <w:jc w:val="both"/>
        <w:rPr>
          <w:rFonts w:ascii="仿宋_GB2312" w:hAnsi="仿宋_GB2312" w:eastAsia="仿宋_GB2312" w:cs="仿宋_GB2312"/>
          <w:bCs/>
          <w:color w:val="auto"/>
          <w:kern w:val="2"/>
          <w:sz w:val="32"/>
          <w:szCs w:val="32"/>
          <w:lang w:bidi="ar"/>
        </w:rPr>
      </w:pPr>
      <w:r>
        <w:rPr>
          <w:rFonts w:hint="eastAsia" w:ascii="仿宋_GB2312" w:hAnsi="仿宋_GB2312" w:eastAsia="仿宋_GB2312" w:cs="仿宋_GB2312"/>
          <w:b/>
          <w:color w:val="auto"/>
          <w:kern w:val="2"/>
          <w:sz w:val="32"/>
          <w:szCs w:val="32"/>
          <w:lang w:bidi="ar"/>
        </w:rPr>
        <w:t>“资金使用率”。</w:t>
      </w:r>
      <w:r>
        <w:rPr>
          <w:rFonts w:hint="eastAsia" w:ascii="仿宋_GB2312" w:hAnsi="仿宋_GB2312" w:eastAsia="仿宋_GB2312" w:cs="仿宋_GB2312"/>
          <w:snapToGrid/>
          <w:color w:val="auto"/>
          <w:kern w:val="2"/>
          <w:sz w:val="32"/>
          <w:szCs w:val="24"/>
        </w:rPr>
        <w:t>“省级以上生态公益林效益补偿资金”</w:t>
      </w:r>
      <w:r>
        <w:rPr>
          <w:rFonts w:hint="eastAsia" w:ascii="仿宋_GB2312" w:hAnsi="仿宋_GB2312" w:eastAsia="仿宋_GB2312" w:cs="仿宋_GB2312"/>
          <w:bCs/>
          <w:color w:val="auto"/>
          <w:kern w:val="2"/>
          <w:sz w:val="32"/>
          <w:szCs w:val="32"/>
          <w:lang w:bidi="ar"/>
        </w:rPr>
        <w:t>总金额265511.00万元，项目资金支出合计2</w:t>
      </w:r>
      <w:r>
        <w:rPr>
          <w:rFonts w:ascii="仿宋_GB2312" w:hAnsi="仿宋_GB2312" w:eastAsia="仿宋_GB2312" w:cs="仿宋_GB2312"/>
          <w:bCs/>
          <w:color w:val="auto"/>
          <w:kern w:val="2"/>
          <w:sz w:val="32"/>
          <w:szCs w:val="32"/>
          <w:lang w:bidi="ar"/>
        </w:rPr>
        <w:t>30920.85</w:t>
      </w:r>
      <w:r>
        <w:rPr>
          <w:rFonts w:hint="eastAsia" w:ascii="仿宋_GB2312" w:hAnsi="仿宋_GB2312" w:eastAsia="仿宋_GB2312" w:cs="仿宋_GB2312"/>
          <w:bCs/>
          <w:color w:val="auto"/>
          <w:kern w:val="2"/>
          <w:sz w:val="32"/>
          <w:szCs w:val="32"/>
          <w:lang w:bidi="ar"/>
        </w:rPr>
        <w:t>万元，预算执行率8</w:t>
      </w:r>
      <w:r>
        <w:rPr>
          <w:rFonts w:ascii="仿宋_GB2312" w:hAnsi="仿宋_GB2312" w:eastAsia="仿宋_GB2312" w:cs="仿宋_GB2312"/>
          <w:bCs/>
          <w:color w:val="auto"/>
          <w:kern w:val="2"/>
          <w:sz w:val="32"/>
          <w:szCs w:val="32"/>
          <w:lang w:bidi="ar"/>
        </w:rPr>
        <w:t>6.97</w:t>
      </w:r>
      <w:r>
        <w:rPr>
          <w:rFonts w:hint="eastAsia" w:ascii="仿宋_GB2312" w:hAnsi="仿宋_GB2312" w:eastAsia="仿宋_GB2312" w:cs="仿宋_GB2312"/>
          <w:bCs/>
          <w:color w:val="auto"/>
          <w:kern w:val="2"/>
          <w:sz w:val="32"/>
          <w:szCs w:val="32"/>
          <w:lang w:bidi="ar"/>
        </w:rPr>
        <w:t>%。该指标分值6分，自评得分5.8分，得分率为96%。</w:t>
      </w:r>
    </w:p>
    <w:p>
      <w:pPr>
        <w:widowControl w:val="0"/>
        <w:adjustRightInd/>
        <w:snapToGrid/>
        <w:spacing w:line="360" w:lineRule="auto"/>
        <w:ind w:firstLine="643" w:firstLineChars="200"/>
        <w:jc w:val="both"/>
        <w:rPr>
          <w:rFonts w:ascii="仿宋_GB2312" w:hAnsi="仿宋_GB2312" w:eastAsia="仿宋_GB2312" w:cs="仿宋_GB2312"/>
          <w:bCs/>
          <w:color w:val="auto"/>
          <w:kern w:val="2"/>
          <w:sz w:val="32"/>
          <w:szCs w:val="32"/>
          <w:lang w:bidi="ar"/>
        </w:rPr>
      </w:pPr>
      <w:r>
        <w:rPr>
          <w:rFonts w:hint="eastAsia" w:ascii="仿宋_GB2312" w:hAnsi="仿宋_GB2312" w:eastAsia="仿宋_GB2312" w:cs="仿宋_GB2312"/>
          <w:b/>
          <w:color w:val="auto"/>
          <w:kern w:val="2"/>
          <w:sz w:val="32"/>
          <w:szCs w:val="32"/>
          <w:lang w:bidi="ar"/>
        </w:rPr>
        <w:t>“工作任务完成及时率”。</w:t>
      </w:r>
      <w:r>
        <w:rPr>
          <w:rFonts w:hint="eastAsia" w:ascii="仿宋_GB2312" w:hAnsi="仿宋_GB2312" w:eastAsia="仿宋_GB2312" w:cs="仿宋_GB2312"/>
          <w:bCs/>
          <w:color w:val="auto"/>
          <w:kern w:val="2"/>
          <w:sz w:val="32"/>
          <w:szCs w:val="32"/>
          <w:lang w:bidi="ar"/>
        </w:rPr>
        <w:t>部分单位由于资金拨付等问题导致任务完成及时率受影响，总体任务完成率为8</w:t>
      </w:r>
      <w:r>
        <w:rPr>
          <w:rFonts w:ascii="仿宋_GB2312" w:hAnsi="仿宋_GB2312" w:eastAsia="仿宋_GB2312" w:cs="仿宋_GB2312"/>
          <w:bCs/>
          <w:color w:val="auto"/>
          <w:kern w:val="2"/>
          <w:sz w:val="32"/>
          <w:szCs w:val="32"/>
          <w:lang w:bidi="ar"/>
        </w:rPr>
        <w:t>6.97</w:t>
      </w:r>
      <w:r>
        <w:rPr>
          <w:rFonts w:hint="eastAsia" w:ascii="仿宋_GB2312" w:hAnsi="仿宋_GB2312" w:eastAsia="仿宋_GB2312" w:cs="仿宋_GB2312"/>
          <w:bCs/>
          <w:color w:val="auto"/>
          <w:kern w:val="2"/>
          <w:sz w:val="32"/>
          <w:szCs w:val="32"/>
          <w:lang w:bidi="ar"/>
        </w:rPr>
        <w:t>%。该指标分值6分，自评得分5.8分，得分率为96%。</w:t>
      </w:r>
    </w:p>
    <w:p>
      <w:pPr>
        <w:adjustRightInd/>
        <w:snapToGrid/>
        <w:spacing w:line="360" w:lineRule="auto"/>
        <w:ind w:firstLine="643" w:firstLineChars="200"/>
        <w:rPr>
          <w:rFonts w:ascii="仿宋_GB2312" w:hAnsi="仿宋_GB2312" w:eastAsia="仿宋_GB2312" w:cs="仿宋_GB2312"/>
          <w:b/>
          <w:bCs/>
          <w:kern w:val="2"/>
          <w:sz w:val="32"/>
          <w:szCs w:val="32"/>
          <w:lang w:bidi="ar"/>
        </w:rPr>
      </w:pPr>
      <w:r>
        <w:rPr>
          <w:rFonts w:hint="eastAsia" w:ascii="仿宋_GB2312" w:hAnsi="仿宋_GB2312" w:eastAsia="仿宋_GB2312" w:cs="仿宋_GB2312"/>
          <w:b/>
          <w:bCs/>
          <w:kern w:val="2"/>
          <w:sz w:val="32"/>
          <w:szCs w:val="32"/>
          <w:lang w:bidi="ar"/>
        </w:rPr>
        <w:t>④成本指标</w:t>
      </w:r>
    </w:p>
    <w:p>
      <w:pPr>
        <w:adjustRightInd/>
        <w:snapToGrid/>
        <w:spacing w:line="360" w:lineRule="auto"/>
        <w:ind w:firstLine="643" w:firstLineChars="200"/>
        <w:jc w:val="both"/>
        <w:rPr>
          <w:rFonts w:ascii="仿宋_GB2312" w:hAnsi="仿宋_GB2312" w:eastAsia="仿宋_GB2312" w:cs="仿宋_GB2312"/>
          <w:bCs/>
          <w:color w:val="auto"/>
          <w:kern w:val="2"/>
          <w:sz w:val="32"/>
          <w:szCs w:val="32"/>
          <w:lang w:bidi="ar"/>
        </w:rPr>
      </w:pPr>
      <w:r>
        <w:rPr>
          <w:rFonts w:hint="eastAsia" w:ascii="仿宋_GB2312" w:hAnsi="仿宋_GB2312" w:eastAsia="仿宋_GB2312" w:cs="仿宋_GB2312"/>
          <w:b/>
          <w:color w:val="auto"/>
          <w:kern w:val="2"/>
          <w:sz w:val="32"/>
          <w:szCs w:val="32"/>
          <w:lang w:bidi="ar"/>
        </w:rPr>
        <w:t>“平均补偿标准（元/亩）”。</w:t>
      </w:r>
      <w:r>
        <w:rPr>
          <w:rFonts w:hint="eastAsia" w:ascii="仿宋_GB2312" w:hAnsi="仿宋_GB2312" w:eastAsia="仿宋_GB2312" w:cs="仿宋_GB2312"/>
          <w:bCs/>
          <w:color w:val="auto"/>
          <w:kern w:val="2"/>
          <w:sz w:val="32"/>
          <w:szCs w:val="32"/>
          <w:lang w:bidi="ar"/>
        </w:rPr>
        <w:t>根据《广东省财政厅关于提前下达2022年省级以上生态公益林效益补偿资金的通知》（粤财资环〔2021〕136号），明确2022年省级以上生态公益林效益平均补偿标准为44元/亩。该指标分值7分，自评得分7分，得分率为100%。</w:t>
      </w:r>
    </w:p>
    <w:p>
      <w:pPr>
        <w:pStyle w:val="5"/>
        <w:keepNext w:val="0"/>
        <w:keepLines w:val="0"/>
        <w:widowControl w:val="0"/>
        <w:autoSpaceDN/>
        <w:adjustRightInd/>
        <w:snapToGrid/>
        <w:spacing w:line="360" w:lineRule="auto"/>
        <w:ind w:firstLine="640"/>
        <w:rPr>
          <w:rFonts w:ascii="仿宋_GB2312" w:hAnsi="仿宋_GB2312" w:eastAsia="仿宋_GB2312" w:cs="仿宋_GB2312"/>
        </w:rPr>
      </w:pPr>
      <w:r>
        <w:rPr>
          <w:rFonts w:hint="eastAsia" w:ascii="仿宋_GB2312" w:hAnsi="仿宋_GB2312" w:eastAsia="仿宋_GB2312" w:cs="仿宋_GB2312"/>
        </w:rPr>
        <w:t>（3）效益。</w:t>
      </w:r>
    </w:p>
    <w:p>
      <w:pPr>
        <w:adjustRightInd/>
        <w:snapToGrid/>
        <w:spacing w:line="360" w:lineRule="auto"/>
        <w:ind w:firstLine="640" w:firstLineChars="200"/>
        <w:jc w:val="both"/>
        <w:rPr>
          <w:rFonts w:ascii="仿宋_GB2312" w:hAnsi="仿宋_GB2312" w:eastAsia="仿宋_GB2312" w:cs="仿宋_GB2312"/>
          <w:bCs/>
          <w:color w:val="auto"/>
          <w:kern w:val="2"/>
          <w:sz w:val="32"/>
          <w:szCs w:val="32"/>
          <w:lang w:bidi="ar"/>
        </w:rPr>
      </w:pPr>
      <w:r>
        <w:rPr>
          <w:rFonts w:hint="eastAsia" w:ascii="仿宋_GB2312" w:hAnsi="仿宋_GB2312" w:eastAsia="仿宋_GB2312" w:cs="仿宋_GB2312"/>
          <w:bCs/>
          <w:color w:val="auto"/>
          <w:kern w:val="2"/>
          <w:sz w:val="32"/>
          <w:szCs w:val="32"/>
          <w:lang w:bidi="ar"/>
        </w:rPr>
        <w:t>该指标主要考核项目实施效果，包含社会效益、经济效益、生态效益、可持续影响、服务对象满意度五个方面。产出指标分值40分，自评得分40分，得分率为100%。该项目产出指标得分情况见表2-5所示。</w:t>
      </w:r>
    </w:p>
    <w:p>
      <w:pPr>
        <w:adjustRightInd/>
        <w:snapToGrid/>
        <w:spacing w:line="360" w:lineRule="auto"/>
        <w:jc w:val="center"/>
        <w:rPr>
          <w:rFonts w:ascii="黑体" w:hAnsi="黑体" w:eastAsia="黑体" w:cs="黑体"/>
          <w:sz w:val="28"/>
          <w:szCs w:val="28"/>
        </w:rPr>
      </w:pPr>
      <w:r>
        <w:rPr>
          <w:rFonts w:hint="eastAsia" w:ascii="黑体" w:hAnsi="黑体" w:eastAsia="黑体" w:cs="黑体"/>
          <w:sz w:val="28"/>
          <w:szCs w:val="28"/>
        </w:rPr>
        <w:t>表2-</w:t>
      </w:r>
      <w:r>
        <w:rPr>
          <w:rFonts w:ascii="黑体" w:hAnsi="黑体" w:eastAsia="黑体" w:cs="黑体"/>
          <w:sz w:val="28"/>
          <w:szCs w:val="28"/>
        </w:rPr>
        <w:t>5</w:t>
      </w:r>
      <w:r>
        <w:rPr>
          <w:rFonts w:hint="eastAsia" w:ascii="黑体" w:hAnsi="黑体" w:eastAsia="黑体" w:cs="黑体"/>
          <w:sz w:val="28"/>
          <w:szCs w:val="28"/>
        </w:rPr>
        <w:t xml:space="preserve"> 项目效益指标得分情况表</w:t>
      </w:r>
    </w:p>
    <w:tbl>
      <w:tblPr>
        <w:tblStyle w:val="1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1333"/>
        <w:gridCol w:w="2053"/>
        <w:gridCol w:w="905"/>
        <w:gridCol w:w="1077"/>
        <w:gridCol w:w="750"/>
        <w:gridCol w:w="7"/>
        <w:gridCol w:w="774"/>
        <w:gridCol w:w="7"/>
        <w:gridCol w:w="900"/>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14" w:type="pct"/>
            <w:shd w:val="clear" w:color="auto" w:fill="D6E3BC"/>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一级指标</w:t>
            </w:r>
          </w:p>
        </w:tc>
        <w:tc>
          <w:tcPr>
            <w:tcW w:w="782" w:type="pct"/>
            <w:shd w:val="clear" w:color="auto" w:fill="D6E3BC"/>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二级指标</w:t>
            </w:r>
          </w:p>
        </w:tc>
        <w:tc>
          <w:tcPr>
            <w:tcW w:w="1204" w:type="pct"/>
            <w:shd w:val="clear" w:color="auto" w:fill="D6E3BC"/>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三级指标</w:t>
            </w:r>
          </w:p>
        </w:tc>
        <w:tc>
          <w:tcPr>
            <w:tcW w:w="531" w:type="pct"/>
            <w:shd w:val="clear" w:color="auto" w:fill="D6E3BC"/>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预期值</w:t>
            </w:r>
          </w:p>
        </w:tc>
        <w:tc>
          <w:tcPr>
            <w:tcW w:w="629" w:type="pct"/>
            <w:shd w:val="clear" w:color="auto" w:fill="D6E3BC"/>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实现值</w:t>
            </w:r>
          </w:p>
        </w:tc>
        <w:tc>
          <w:tcPr>
            <w:tcW w:w="444" w:type="pct"/>
            <w:gridSpan w:val="2"/>
            <w:shd w:val="clear" w:color="auto" w:fill="D6E3BC"/>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指标分值</w:t>
            </w:r>
          </w:p>
        </w:tc>
        <w:tc>
          <w:tcPr>
            <w:tcW w:w="458" w:type="pct"/>
            <w:gridSpan w:val="2"/>
            <w:shd w:val="clear" w:color="auto" w:fill="D6E3BC"/>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自评</w:t>
            </w: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得分</w:t>
            </w:r>
          </w:p>
        </w:tc>
        <w:tc>
          <w:tcPr>
            <w:tcW w:w="532" w:type="pct"/>
            <w:gridSpan w:val="2"/>
            <w:shd w:val="clear" w:color="auto" w:fill="D6E3BC"/>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14" w:type="pct"/>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效益</w:t>
            </w:r>
          </w:p>
        </w:tc>
        <w:tc>
          <w:tcPr>
            <w:tcW w:w="782"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社会效益指标</w:t>
            </w:r>
          </w:p>
        </w:tc>
        <w:tc>
          <w:tcPr>
            <w:tcW w:w="1204"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公益林区域内有无采脂、采石等违规现象</w:t>
            </w:r>
          </w:p>
        </w:tc>
        <w:tc>
          <w:tcPr>
            <w:tcW w:w="531"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无</w:t>
            </w:r>
          </w:p>
        </w:tc>
        <w:tc>
          <w:tcPr>
            <w:tcW w:w="6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无</w:t>
            </w:r>
          </w:p>
        </w:tc>
        <w:tc>
          <w:tcPr>
            <w:tcW w:w="444"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458"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532"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14" w:type="pct"/>
            <w:vMerge w:val="continue"/>
            <w:vAlign w:val="center"/>
          </w:tcPr>
          <w:p>
            <w:pPr>
              <w:jc w:val="center"/>
              <w:rPr>
                <w:rFonts w:ascii="仿宋_GB2312" w:hAnsi="仿宋_GB2312" w:eastAsia="仿宋_GB2312" w:cs="仿宋_GB2312"/>
                <w:sz w:val="24"/>
                <w:szCs w:val="24"/>
              </w:rPr>
            </w:pPr>
          </w:p>
        </w:tc>
        <w:tc>
          <w:tcPr>
            <w:tcW w:w="782"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经济效益指标</w:t>
            </w:r>
          </w:p>
        </w:tc>
        <w:tc>
          <w:tcPr>
            <w:tcW w:w="1204"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对当地经济发展是否促进作用</w:t>
            </w:r>
          </w:p>
        </w:tc>
        <w:tc>
          <w:tcPr>
            <w:tcW w:w="531"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c>
          <w:tcPr>
            <w:tcW w:w="6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c>
          <w:tcPr>
            <w:tcW w:w="444"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458"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532"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14" w:type="pct"/>
            <w:vMerge w:val="continue"/>
            <w:vAlign w:val="center"/>
          </w:tcPr>
          <w:p>
            <w:pPr>
              <w:jc w:val="center"/>
              <w:rPr>
                <w:rFonts w:ascii="仿宋_GB2312" w:hAnsi="仿宋_GB2312" w:eastAsia="仿宋_GB2312" w:cs="仿宋_GB2312"/>
                <w:sz w:val="24"/>
                <w:szCs w:val="24"/>
              </w:rPr>
            </w:pPr>
          </w:p>
        </w:tc>
        <w:tc>
          <w:tcPr>
            <w:tcW w:w="782" w:type="pct"/>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生态效益指标</w:t>
            </w:r>
          </w:p>
        </w:tc>
        <w:tc>
          <w:tcPr>
            <w:tcW w:w="1204"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区域森林火灾受害率</w:t>
            </w:r>
          </w:p>
        </w:tc>
        <w:tc>
          <w:tcPr>
            <w:tcW w:w="531"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pacing w:val="-23"/>
                <w:sz w:val="24"/>
                <w:szCs w:val="24"/>
              </w:rPr>
              <w:t>≤0.5‰</w:t>
            </w:r>
          </w:p>
        </w:tc>
        <w:tc>
          <w:tcPr>
            <w:tcW w:w="6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0.025‰</w:t>
            </w:r>
          </w:p>
        </w:tc>
        <w:tc>
          <w:tcPr>
            <w:tcW w:w="444"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458"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532"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14" w:type="pct"/>
            <w:vMerge w:val="continue"/>
            <w:vAlign w:val="center"/>
          </w:tcPr>
          <w:p>
            <w:pPr>
              <w:jc w:val="center"/>
              <w:rPr>
                <w:rFonts w:ascii="仿宋_GB2312" w:hAnsi="仿宋_GB2312" w:eastAsia="仿宋_GB2312" w:cs="仿宋_GB2312"/>
                <w:sz w:val="24"/>
                <w:szCs w:val="24"/>
              </w:rPr>
            </w:pPr>
          </w:p>
        </w:tc>
        <w:tc>
          <w:tcPr>
            <w:tcW w:w="782" w:type="pct"/>
            <w:vMerge w:val="continue"/>
            <w:vAlign w:val="center"/>
          </w:tcPr>
          <w:p>
            <w:pPr>
              <w:jc w:val="center"/>
              <w:rPr>
                <w:rFonts w:ascii="仿宋_GB2312" w:hAnsi="仿宋_GB2312" w:eastAsia="仿宋_GB2312" w:cs="仿宋_GB2312"/>
                <w:sz w:val="24"/>
                <w:szCs w:val="24"/>
              </w:rPr>
            </w:pPr>
          </w:p>
        </w:tc>
        <w:tc>
          <w:tcPr>
            <w:tcW w:w="1204"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区域林业有害生物成灾率</w:t>
            </w:r>
          </w:p>
        </w:tc>
        <w:tc>
          <w:tcPr>
            <w:tcW w:w="531"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pacing w:val="-23"/>
                <w:sz w:val="24"/>
                <w:szCs w:val="24"/>
              </w:rPr>
              <w:t>26.32‰</w:t>
            </w:r>
          </w:p>
        </w:tc>
        <w:tc>
          <w:tcPr>
            <w:tcW w:w="6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napToGrid/>
                <w:kern w:val="21"/>
                <w:sz w:val="24"/>
                <w:szCs w:val="24"/>
              </w:rPr>
              <w:t>25.65‰</w:t>
            </w:r>
          </w:p>
        </w:tc>
        <w:tc>
          <w:tcPr>
            <w:tcW w:w="444"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458"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532"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14" w:type="pct"/>
            <w:vMerge w:val="continue"/>
            <w:vAlign w:val="center"/>
          </w:tcPr>
          <w:p>
            <w:pPr>
              <w:jc w:val="center"/>
              <w:rPr>
                <w:rFonts w:ascii="仿宋_GB2312" w:hAnsi="仿宋_GB2312" w:eastAsia="仿宋_GB2312" w:cs="仿宋_GB2312"/>
                <w:sz w:val="24"/>
                <w:szCs w:val="24"/>
              </w:rPr>
            </w:pPr>
          </w:p>
        </w:tc>
        <w:tc>
          <w:tcPr>
            <w:tcW w:w="782" w:type="pct"/>
            <w:vMerge w:val="restar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可持续影响指标</w:t>
            </w:r>
          </w:p>
        </w:tc>
        <w:tc>
          <w:tcPr>
            <w:tcW w:w="1204"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spacing w:val="-6"/>
                <w:sz w:val="24"/>
                <w:szCs w:val="24"/>
              </w:rPr>
              <w:t>政策或制度可持续</w:t>
            </w:r>
          </w:p>
        </w:tc>
        <w:tc>
          <w:tcPr>
            <w:tcW w:w="531"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c>
          <w:tcPr>
            <w:tcW w:w="6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c>
          <w:tcPr>
            <w:tcW w:w="444"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458"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532"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14" w:type="pct"/>
            <w:vMerge w:val="continue"/>
            <w:vAlign w:val="center"/>
          </w:tcPr>
          <w:p>
            <w:pPr>
              <w:jc w:val="center"/>
              <w:rPr>
                <w:rFonts w:ascii="仿宋_GB2312" w:hAnsi="仿宋_GB2312" w:eastAsia="仿宋_GB2312" w:cs="仿宋_GB2312"/>
                <w:sz w:val="24"/>
                <w:szCs w:val="24"/>
              </w:rPr>
            </w:pPr>
          </w:p>
        </w:tc>
        <w:tc>
          <w:tcPr>
            <w:tcW w:w="782" w:type="pct"/>
            <w:vMerge w:val="continue"/>
            <w:vAlign w:val="center"/>
          </w:tcPr>
          <w:p>
            <w:pPr>
              <w:jc w:val="center"/>
              <w:rPr>
                <w:rFonts w:ascii="仿宋_GB2312" w:hAnsi="仿宋_GB2312" w:eastAsia="仿宋_GB2312" w:cs="仿宋_GB2312"/>
                <w:sz w:val="24"/>
                <w:szCs w:val="24"/>
              </w:rPr>
            </w:pPr>
          </w:p>
        </w:tc>
        <w:tc>
          <w:tcPr>
            <w:tcW w:w="1204"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sz w:val="24"/>
                <w:szCs w:val="24"/>
              </w:rPr>
              <w:t>机制可持续（如管护、经费投入等）</w:t>
            </w:r>
          </w:p>
        </w:tc>
        <w:tc>
          <w:tcPr>
            <w:tcW w:w="531"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c>
          <w:tcPr>
            <w:tcW w:w="6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c>
          <w:tcPr>
            <w:tcW w:w="444"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458"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532"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14" w:type="pct"/>
            <w:vMerge w:val="continue"/>
            <w:vAlign w:val="center"/>
          </w:tcPr>
          <w:p>
            <w:pPr>
              <w:jc w:val="center"/>
              <w:rPr>
                <w:rFonts w:ascii="仿宋_GB2312" w:hAnsi="仿宋_GB2312" w:eastAsia="仿宋_GB2312" w:cs="仿宋_GB2312"/>
                <w:sz w:val="24"/>
                <w:szCs w:val="24"/>
              </w:rPr>
            </w:pPr>
          </w:p>
        </w:tc>
        <w:tc>
          <w:tcPr>
            <w:tcW w:w="782" w:type="pct"/>
            <w:vMerge w:val="continue"/>
            <w:vAlign w:val="center"/>
          </w:tcPr>
          <w:p>
            <w:pPr>
              <w:jc w:val="center"/>
              <w:rPr>
                <w:rFonts w:ascii="仿宋_GB2312" w:hAnsi="仿宋_GB2312" w:eastAsia="仿宋_GB2312" w:cs="仿宋_GB2312"/>
                <w:sz w:val="24"/>
                <w:szCs w:val="24"/>
              </w:rPr>
            </w:pPr>
          </w:p>
        </w:tc>
        <w:tc>
          <w:tcPr>
            <w:tcW w:w="1204" w:type="pct"/>
            <w:vAlign w:val="center"/>
          </w:tcPr>
          <w:p>
            <w:pPr>
              <w:rPr>
                <w:rFonts w:ascii="仿宋_GB2312" w:hAnsi="仿宋_GB2312" w:eastAsia="仿宋_GB2312" w:cs="仿宋_GB2312"/>
                <w:sz w:val="24"/>
                <w:szCs w:val="24"/>
              </w:rPr>
            </w:pPr>
            <w:r>
              <w:rPr>
                <w:rFonts w:hint="eastAsia" w:ascii="仿宋_GB2312" w:hAnsi="仿宋_GB2312" w:eastAsia="仿宋_GB2312" w:cs="仿宋_GB2312"/>
                <w:spacing w:val="-6"/>
                <w:sz w:val="24"/>
                <w:szCs w:val="24"/>
              </w:rPr>
              <w:t>公益林示范区示范效应（是否明显）</w:t>
            </w:r>
          </w:p>
        </w:tc>
        <w:tc>
          <w:tcPr>
            <w:tcW w:w="531"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c>
          <w:tcPr>
            <w:tcW w:w="629"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是</w:t>
            </w:r>
          </w:p>
        </w:tc>
        <w:tc>
          <w:tcPr>
            <w:tcW w:w="444"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458"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532"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414" w:type="pct"/>
            <w:vMerge w:val="continue"/>
            <w:vAlign w:val="center"/>
          </w:tcPr>
          <w:p>
            <w:pPr>
              <w:jc w:val="center"/>
              <w:rPr>
                <w:rFonts w:ascii="仿宋_GB2312" w:hAnsi="仿宋_GB2312" w:eastAsia="仿宋_GB2312" w:cs="仿宋_GB2312"/>
                <w:sz w:val="24"/>
                <w:szCs w:val="24"/>
              </w:rPr>
            </w:pPr>
          </w:p>
        </w:tc>
        <w:tc>
          <w:tcPr>
            <w:tcW w:w="782"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pacing w:val="-11"/>
                <w:sz w:val="24"/>
                <w:szCs w:val="24"/>
              </w:rPr>
              <w:t>服务对象满意度指标</w:t>
            </w:r>
          </w:p>
        </w:tc>
        <w:tc>
          <w:tcPr>
            <w:tcW w:w="1204"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群众满意度</w:t>
            </w:r>
          </w:p>
        </w:tc>
        <w:tc>
          <w:tcPr>
            <w:tcW w:w="531" w:type="pct"/>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≥90%</w:t>
            </w:r>
          </w:p>
        </w:tc>
        <w:tc>
          <w:tcPr>
            <w:tcW w:w="629" w:type="pct"/>
            <w:vAlign w:val="center"/>
          </w:tcPr>
          <w:p>
            <w:pPr>
              <w:jc w:val="center"/>
              <w:rPr>
                <w:rFonts w:ascii="仿宋_GB2312" w:hAnsi="仿宋_GB2312" w:eastAsia="仿宋_GB2312" w:cs="仿宋_GB2312"/>
                <w:sz w:val="24"/>
                <w:szCs w:val="24"/>
              </w:rPr>
            </w:pPr>
            <w:r>
              <w:rPr>
                <w:rFonts w:ascii="仿宋_GB2312" w:hAnsi="仿宋_GB2312" w:eastAsia="仿宋_GB2312" w:cs="仿宋_GB2312"/>
                <w:sz w:val="24"/>
                <w:szCs w:val="24"/>
              </w:rPr>
              <w:t>97.3</w:t>
            </w:r>
            <w:r>
              <w:rPr>
                <w:rFonts w:hint="eastAsia" w:ascii="仿宋_GB2312" w:hAnsi="仿宋_GB2312" w:eastAsia="仿宋_GB2312" w:cs="仿宋_GB2312"/>
                <w:sz w:val="24"/>
                <w:szCs w:val="24"/>
              </w:rPr>
              <w:t>%</w:t>
            </w:r>
          </w:p>
        </w:tc>
        <w:tc>
          <w:tcPr>
            <w:tcW w:w="444"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458"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532" w:type="pct"/>
            <w:gridSpan w:val="2"/>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pct"/>
          <w:trHeight w:val="547" w:hRule="atLeast"/>
          <w:jc w:val="center"/>
        </w:trPr>
        <w:tc>
          <w:tcPr>
            <w:tcW w:w="3563" w:type="pct"/>
            <w:gridSpan w:val="5"/>
            <w:shd w:val="clear" w:color="auto" w:fill="D6E3BC"/>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合计</w:t>
            </w:r>
          </w:p>
        </w:tc>
        <w:tc>
          <w:tcPr>
            <w:tcW w:w="440" w:type="pct"/>
            <w:shd w:val="clear" w:color="auto" w:fill="D6E3BC"/>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40</w:t>
            </w:r>
          </w:p>
        </w:tc>
        <w:tc>
          <w:tcPr>
            <w:tcW w:w="458" w:type="pct"/>
            <w:gridSpan w:val="2"/>
            <w:shd w:val="clear" w:color="auto" w:fill="D6E3BC"/>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40</w:t>
            </w:r>
          </w:p>
        </w:tc>
        <w:tc>
          <w:tcPr>
            <w:tcW w:w="532" w:type="pct"/>
            <w:gridSpan w:val="2"/>
            <w:shd w:val="clear" w:color="auto" w:fill="D6E3BC"/>
            <w:vAlign w:val="center"/>
          </w:tcPr>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100%</w:t>
            </w:r>
          </w:p>
        </w:tc>
      </w:tr>
    </w:tbl>
    <w:p>
      <w:pPr>
        <w:adjustRightInd/>
        <w:snapToGrid/>
        <w:spacing w:before="156" w:beforeLines="50" w:line="360" w:lineRule="auto"/>
        <w:ind w:firstLine="643" w:firstLineChars="200"/>
        <w:jc w:val="both"/>
        <w:rPr>
          <w:rFonts w:ascii="仿宋_GB2312" w:hAnsi="Times New Roman" w:eastAsia="仿宋_GB2312" w:cs="仿宋_GB2312"/>
          <w:bCs/>
          <w:color w:val="auto"/>
          <w:kern w:val="2"/>
          <w:sz w:val="32"/>
          <w:szCs w:val="32"/>
          <w:lang w:bidi="ar"/>
        </w:rPr>
      </w:pPr>
      <w:bookmarkStart w:id="9" w:name="_Toc107144629"/>
      <w:bookmarkStart w:id="10" w:name="_Toc107136766"/>
      <w:r>
        <w:rPr>
          <w:rFonts w:ascii="仿宋_GB2312" w:hAnsi="仿宋_GB2312" w:eastAsia="仿宋_GB2312" w:cs="仿宋_GB2312"/>
          <w:b/>
          <w:bCs/>
          <w:kern w:val="2"/>
          <w:sz w:val="32"/>
          <w:szCs w:val="32"/>
          <w:lang w:bidi="ar"/>
        </w:rPr>
        <w:t>①</w:t>
      </w:r>
      <w:r>
        <w:rPr>
          <w:rFonts w:hint="eastAsia" w:ascii="仿宋_GB2312" w:hAnsi="Times New Roman" w:eastAsia="仿宋_GB2312" w:cs="仿宋_GB2312"/>
          <w:b/>
          <w:color w:val="auto"/>
          <w:kern w:val="2"/>
          <w:sz w:val="32"/>
          <w:szCs w:val="32"/>
          <w:lang w:bidi="ar"/>
        </w:rPr>
        <w:t>社会效益指标</w:t>
      </w:r>
      <w:r>
        <w:rPr>
          <w:rFonts w:hint="eastAsia" w:ascii="仿宋_GB2312" w:hAnsi="Times New Roman" w:eastAsia="仿宋_GB2312" w:cs="仿宋_GB2312"/>
          <w:bCs/>
          <w:color w:val="auto"/>
          <w:kern w:val="2"/>
          <w:sz w:val="32"/>
          <w:szCs w:val="32"/>
          <w:lang w:bidi="ar"/>
        </w:rPr>
        <w:t>。</w:t>
      </w:r>
      <w:bookmarkEnd w:id="9"/>
      <w:bookmarkEnd w:id="10"/>
    </w:p>
    <w:p>
      <w:pPr>
        <w:widowControl w:val="0"/>
        <w:adjustRightInd/>
        <w:snapToGrid/>
        <w:spacing w:line="360" w:lineRule="auto"/>
        <w:ind w:firstLine="643" w:firstLineChars="200"/>
        <w:jc w:val="both"/>
        <w:rPr>
          <w:rFonts w:ascii="仿宋_GB2312" w:hAnsi="仿宋_GB2312" w:eastAsia="仿宋_GB2312" w:cs="仿宋_GB2312"/>
          <w:bCs/>
          <w:color w:val="auto"/>
          <w:kern w:val="2"/>
          <w:sz w:val="32"/>
          <w:szCs w:val="32"/>
          <w:lang w:bidi="ar"/>
        </w:rPr>
      </w:pPr>
      <w:r>
        <w:rPr>
          <w:rFonts w:hint="eastAsia" w:ascii="仿宋_GB2312" w:hAnsi="仿宋_GB2312" w:eastAsia="仿宋_GB2312" w:cs="仿宋_GB2312"/>
          <w:b/>
          <w:color w:val="auto"/>
          <w:kern w:val="2"/>
          <w:sz w:val="32"/>
          <w:szCs w:val="32"/>
          <w:lang w:bidi="ar"/>
        </w:rPr>
        <w:t>“公益林区域内有无采脂、采石等违规现象”。</w:t>
      </w:r>
      <w:r>
        <w:rPr>
          <w:rFonts w:hint="eastAsia" w:ascii="仿宋_GB2312" w:hAnsi="仿宋_GB2312" w:eastAsia="仿宋_GB2312" w:cs="仿宋_GB2312"/>
          <w:bCs/>
          <w:color w:val="auto"/>
          <w:kern w:val="2"/>
          <w:sz w:val="32"/>
          <w:szCs w:val="32"/>
          <w:lang w:bidi="ar"/>
        </w:rPr>
        <w:t>根据各单位提供的项目总结，未发现公益林区域内有采脂、采石等违规现象。该指标分值5分，自评得分5分，得分率为100%。</w:t>
      </w:r>
    </w:p>
    <w:p>
      <w:pPr>
        <w:widowControl w:val="0"/>
        <w:adjustRightInd/>
        <w:snapToGrid/>
        <w:spacing w:line="360" w:lineRule="auto"/>
        <w:ind w:firstLine="643" w:firstLineChars="200"/>
        <w:jc w:val="both"/>
        <w:rPr>
          <w:rFonts w:ascii="仿宋_GB2312" w:hAnsi="仿宋_GB2312" w:eastAsia="仿宋_GB2312" w:cs="仿宋_GB2312"/>
          <w:b/>
          <w:bCs/>
          <w:color w:val="auto"/>
          <w:kern w:val="2"/>
          <w:sz w:val="32"/>
          <w:szCs w:val="32"/>
          <w:lang w:bidi="ar"/>
        </w:rPr>
      </w:pPr>
      <w:r>
        <w:rPr>
          <w:rFonts w:ascii="仿宋_GB2312" w:hAnsi="仿宋_GB2312" w:eastAsia="仿宋_GB2312" w:cs="仿宋_GB2312"/>
          <w:b/>
          <w:bCs/>
          <w:kern w:val="2"/>
          <w:sz w:val="32"/>
          <w:szCs w:val="32"/>
          <w:lang w:bidi="ar"/>
        </w:rPr>
        <w:t>②</w:t>
      </w:r>
      <w:r>
        <w:rPr>
          <w:rFonts w:hint="eastAsia" w:ascii="仿宋_GB2312" w:hAnsi="仿宋_GB2312" w:eastAsia="仿宋_GB2312" w:cs="仿宋_GB2312"/>
          <w:b/>
          <w:bCs/>
          <w:color w:val="auto"/>
          <w:kern w:val="2"/>
          <w:sz w:val="32"/>
          <w:szCs w:val="32"/>
          <w:lang w:bidi="ar"/>
        </w:rPr>
        <w:t>经济效益指标。</w:t>
      </w:r>
    </w:p>
    <w:p>
      <w:pPr>
        <w:widowControl w:val="0"/>
        <w:adjustRightInd/>
        <w:snapToGrid/>
        <w:spacing w:line="360" w:lineRule="auto"/>
        <w:ind w:firstLine="643" w:firstLineChars="200"/>
        <w:jc w:val="both"/>
        <w:rPr>
          <w:rFonts w:ascii="仿宋_GB2312" w:hAnsi="仿宋_GB2312" w:eastAsia="仿宋_GB2312" w:cs="仿宋_GB2312"/>
          <w:bCs/>
          <w:color w:val="auto"/>
          <w:kern w:val="2"/>
          <w:sz w:val="32"/>
          <w:szCs w:val="32"/>
          <w:lang w:bidi="ar"/>
        </w:rPr>
      </w:pPr>
      <w:r>
        <w:rPr>
          <w:rFonts w:hint="eastAsia" w:ascii="仿宋_GB2312" w:hAnsi="仿宋_GB2312" w:eastAsia="仿宋_GB2312" w:cs="仿宋_GB2312"/>
          <w:b/>
          <w:color w:val="auto"/>
          <w:kern w:val="2"/>
          <w:sz w:val="32"/>
          <w:szCs w:val="32"/>
          <w:lang w:bidi="ar"/>
        </w:rPr>
        <w:t>“对当地经济发展是否促进作用”。</w:t>
      </w:r>
      <w:r>
        <w:rPr>
          <w:rFonts w:hint="eastAsia" w:ascii="仿宋_GB2312" w:hAnsi="仿宋_GB2312" w:eastAsia="仿宋_GB2312" w:cs="仿宋_GB2312"/>
          <w:snapToGrid/>
          <w:color w:val="auto"/>
          <w:kern w:val="2"/>
          <w:sz w:val="32"/>
          <w:szCs w:val="24"/>
        </w:rPr>
        <w:t>“省级以上生态公益林效益补偿资金”</w:t>
      </w:r>
      <w:r>
        <w:rPr>
          <w:rFonts w:hint="eastAsia" w:ascii="仿宋_GB2312" w:hAnsi="仿宋_GB2312" w:eastAsia="仿宋_GB2312" w:cs="仿宋_GB2312"/>
          <w:bCs/>
          <w:color w:val="auto"/>
          <w:kern w:val="2"/>
          <w:sz w:val="32"/>
          <w:szCs w:val="32"/>
          <w:lang w:bidi="ar"/>
        </w:rPr>
        <w:t>项目对当地经济发展起到促进作用，补偿资金的发放，提高了林农的收入水平；管护经费的使用，创造了一定量的就业岗位。该指标分值5分，自评得分5分，得分率为100%。</w:t>
      </w:r>
    </w:p>
    <w:p>
      <w:pPr>
        <w:widowControl w:val="0"/>
        <w:adjustRightInd/>
        <w:snapToGrid/>
        <w:spacing w:line="360" w:lineRule="auto"/>
        <w:ind w:firstLine="643" w:firstLineChars="200"/>
        <w:jc w:val="both"/>
        <w:rPr>
          <w:rFonts w:ascii="仿宋_GB2312" w:hAnsi="仿宋_GB2312" w:eastAsia="仿宋_GB2312" w:cs="仿宋_GB2312"/>
          <w:b/>
          <w:bCs/>
          <w:color w:val="auto"/>
          <w:kern w:val="2"/>
          <w:sz w:val="32"/>
          <w:szCs w:val="32"/>
          <w:lang w:bidi="ar"/>
        </w:rPr>
      </w:pPr>
      <w:bookmarkStart w:id="11" w:name="_Toc107136767"/>
      <w:bookmarkStart w:id="12" w:name="_Toc107144630"/>
      <w:r>
        <w:rPr>
          <w:rFonts w:ascii="仿宋_GB2312" w:hAnsi="仿宋_GB2312" w:eastAsia="仿宋_GB2312" w:cs="仿宋_GB2312"/>
          <w:b/>
          <w:bCs/>
          <w:kern w:val="2"/>
          <w:sz w:val="32"/>
          <w:szCs w:val="32"/>
          <w:lang w:bidi="ar"/>
        </w:rPr>
        <w:t>③</w:t>
      </w:r>
      <w:r>
        <w:rPr>
          <w:rFonts w:hint="eastAsia" w:ascii="仿宋_GB2312" w:hAnsi="仿宋_GB2312" w:eastAsia="仿宋_GB2312" w:cs="仿宋_GB2312"/>
          <w:b/>
          <w:bCs/>
          <w:color w:val="auto"/>
          <w:kern w:val="2"/>
          <w:sz w:val="32"/>
          <w:szCs w:val="32"/>
          <w:lang w:bidi="ar"/>
        </w:rPr>
        <w:t>生态效益指标。</w:t>
      </w:r>
      <w:bookmarkEnd w:id="11"/>
      <w:bookmarkEnd w:id="12"/>
    </w:p>
    <w:p>
      <w:pPr>
        <w:widowControl w:val="0"/>
        <w:adjustRightInd/>
        <w:snapToGrid/>
        <w:spacing w:line="360" w:lineRule="auto"/>
        <w:ind w:firstLine="643" w:firstLineChars="200"/>
        <w:jc w:val="both"/>
        <w:rPr>
          <w:rFonts w:ascii="仿宋_GB2312" w:hAnsi="仿宋_GB2312" w:eastAsia="仿宋_GB2312" w:cs="仿宋_GB2312"/>
          <w:bCs/>
          <w:color w:val="auto"/>
          <w:kern w:val="2"/>
          <w:sz w:val="32"/>
          <w:szCs w:val="32"/>
          <w:lang w:bidi="ar"/>
        </w:rPr>
      </w:pPr>
      <w:r>
        <w:rPr>
          <w:rFonts w:hint="eastAsia" w:ascii="仿宋_GB2312" w:hAnsi="仿宋_GB2312" w:eastAsia="仿宋_GB2312" w:cs="仿宋_GB2312"/>
          <w:b/>
          <w:color w:val="auto"/>
          <w:kern w:val="2"/>
          <w:sz w:val="32"/>
          <w:szCs w:val="32"/>
          <w:lang w:bidi="ar"/>
        </w:rPr>
        <w:t>“区域森林火灾受害率”。</w:t>
      </w:r>
      <w:r>
        <w:rPr>
          <w:rFonts w:hint="eastAsia" w:ascii="仿宋_GB2312" w:hAnsi="仿宋_GB2312" w:eastAsia="仿宋_GB2312" w:cs="仿宋_GB2312"/>
          <w:bCs/>
          <w:color w:val="auto"/>
          <w:kern w:val="2"/>
          <w:sz w:val="32"/>
          <w:szCs w:val="32"/>
          <w:lang w:bidi="ar"/>
        </w:rPr>
        <w:t>根据广东省2021-2022年森林火灾受害率统计显示，火灾受害率为0.025‰，该指标分值5分，自评得分5分，得分率为100%。</w:t>
      </w:r>
    </w:p>
    <w:p>
      <w:pPr>
        <w:widowControl w:val="0"/>
        <w:adjustRightInd/>
        <w:snapToGrid/>
        <w:spacing w:line="360" w:lineRule="auto"/>
        <w:ind w:firstLine="640" w:firstLineChars="200"/>
        <w:jc w:val="both"/>
        <w:rPr>
          <w:rFonts w:ascii="仿宋_GB2312" w:hAnsi="仿宋_GB2312" w:eastAsia="仿宋_GB2312" w:cs="仿宋_GB2312"/>
          <w:bCs/>
          <w:color w:val="auto"/>
          <w:kern w:val="2"/>
          <w:sz w:val="32"/>
          <w:szCs w:val="32"/>
          <w:lang w:bidi="ar"/>
        </w:rPr>
      </w:pPr>
      <w:r>
        <w:rPr>
          <w:rFonts w:hint="eastAsia" w:ascii="仿宋_GB2312" w:hAnsi="仿宋_GB2312" w:eastAsia="仿宋_GB2312" w:cs="仿宋_GB2312"/>
          <w:bCs/>
          <w:color w:val="auto"/>
          <w:kern w:val="2"/>
          <w:sz w:val="32"/>
          <w:szCs w:val="32"/>
          <w:lang w:bidi="ar"/>
        </w:rPr>
        <w:t>“区域林业有害生物成灾率”。该指标申报预算时目标值为≤0.4%</w:t>
      </w:r>
      <w:r>
        <w:rPr>
          <w:rFonts w:hint="eastAsia" w:ascii="仿宋_GB2312" w:hAnsi="仿宋_GB2312" w:eastAsia="仿宋_GB2312" w:cs="仿宋_GB2312"/>
          <w:bCs/>
          <w:color w:val="auto"/>
          <w:kern w:val="2"/>
          <w:sz w:val="32"/>
          <w:szCs w:val="32"/>
          <w:lang w:eastAsia="zh-CN" w:bidi="ar"/>
        </w:rPr>
        <w:t>。</w:t>
      </w:r>
      <w:r>
        <w:rPr>
          <w:rFonts w:hint="eastAsia" w:ascii="仿宋_GB2312" w:hAnsi="仿宋_GB2312" w:eastAsia="仿宋_GB2312" w:cs="仿宋_GB2312"/>
          <w:snapToGrid/>
          <w:kern w:val="21"/>
          <w:sz w:val="32"/>
          <w:szCs w:val="32"/>
        </w:rPr>
        <w:t>“十四五”以前，成灾率(‰)=全年实际成灾面积（各种病虫草）/(现有林面积+未成林面积)×1000‰)。2021年9月13日，国家林草局将“松材线虫病发生面积在有效防治后不算成灾”的成灾面积统计标准修改为“松材线虫病发生面积即成灾面积”，由于松材线虫病发生面积的统计标准发生了变化，导致我省林业有害生物成灾率指标大幅提升。“十四五”以来，成灾率(‰)=全年实际成灾面积（各种有害生物）/林地面积×1000‰)。</w:t>
      </w:r>
      <w:r>
        <w:rPr>
          <w:rFonts w:hint="eastAsia" w:ascii="仿宋_GB2312" w:hAnsi="仿宋_GB2312" w:eastAsia="仿宋_GB2312" w:cs="仿宋_GB2312"/>
          <w:kern w:val="21"/>
          <w:sz w:val="32"/>
          <w:szCs w:val="32"/>
        </w:rPr>
        <w:t>而我省“十四五”规划</w:t>
      </w:r>
      <w:r>
        <w:rPr>
          <w:rFonts w:hint="eastAsia" w:ascii="仿宋_GB2312" w:hAnsi="仿宋_GB2312" w:eastAsia="仿宋_GB2312" w:cs="仿宋_GB2312"/>
          <w:snapToGrid/>
          <w:kern w:val="21"/>
          <w:sz w:val="32"/>
          <w:szCs w:val="32"/>
        </w:rPr>
        <w:t>已于2021年9月3日印发，这导致我省的成灾率指标有变化。2022年4月7日，国家林业和草原局测算并下达了各省的“十四五”林业有害生物成灾率指标（办生字〔2022〕24号），明确我省到2025年末成灾率控制指标为26.32‰。</w:t>
      </w:r>
    </w:p>
    <w:p>
      <w:pPr>
        <w:widowControl w:val="0"/>
        <w:adjustRightInd/>
        <w:snapToGrid/>
        <w:spacing w:line="360" w:lineRule="auto"/>
        <w:ind w:firstLine="640" w:firstLineChars="200"/>
        <w:jc w:val="both"/>
        <w:rPr>
          <w:rFonts w:ascii="仿宋_GB2312" w:hAnsi="仿宋_GB2312" w:eastAsia="仿宋_GB2312" w:cs="仿宋_GB2312"/>
          <w:bCs/>
          <w:color w:val="auto"/>
          <w:kern w:val="2"/>
          <w:sz w:val="32"/>
          <w:szCs w:val="32"/>
          <w:lang w:bidi="ar"/>
        </w:rPr>
      </w:pPr>
      <w:r>
        <w:rPr>
          <w:rFonts w:hint="eastAsia" w:ascii="仿宋_GB2312" w:hAnsi="仿宋_GB2312" w:eastAsia="仿宋_GB2312" w:cs="仿宋_GB2312"/>
          <w:snapToGrid/>
          <w:kern w:val="21"/>
          <w:sz w:val="32"/>
          <w:szCs w:val="32"/>
        </w:rPr>
        <w:t>2022年全省松材线虫病发生面积415.3万亩，按“十四五”松材线虫病发生面积即成灾面积的标准和三调林地面积16188万亩计算，成灾率为（415.3/16188）*1000%=25.65‰，</w:t>
      </w:r>
      <w:r>
        <w:rPr>
          <w:rFonts w:hint="eastAsia" w:ascii="仿宋_GB2312" w:hAnsi="仿宋_GB2312" w:eastAsia="仿宋_GB2312" w:cs="仿宋_GB2312"/>
          <w:bCs/>
          <w:color w:val="auto"/>
          <w:kern w:val="2"/>
          <w:sz w:val="32"/>
          <w:szCs w:val="32"/>
          <w:lang w:bidi="ar"/>
        </w:rPr>
        <w:t>指标任务完成。该指标分值5分，自评得分5分，得分率为100%。</w:t>
      </w:r>
    </w:p>
    <w:p>
      <w:pPr>
        <w:widowControl w:val="0"/>
        <w:adjustRightInd/>
        <w:snapToGrid/>
        <w:spacing w:line="360" w:lineRule="auto"/>
        <w:ind w:firstLine="643" w:firstLineChars="200"/>
        <w:jc w:val="both"/>
        <w:rPr>
          <w:rFonts w:ascii="仿宋_GB2312" w:hAnsi="仿宋_GB2312" w:eastAsia="仿宋_GB2312" w:cs="仿宋_GB2312"/>
          <w:b/>
          <w:bCs/>
          <w:color w:val="auto"/>
          <w:kern w:val="2"/>
          <w:sz w:val="32"/>
          <w:szCs w:val="32"/>
          <w:lang w:bidi="ar"/>
        </w:rPr>
      </w:pPr>
      <w:bookmarkStart w:id="13" w:name="_Toc107136768"/>
      <w:bookmarkStart w:id="14" w:name="_Toc107144631"/>
      <w:r>
        <w:rPr>
          <w:rFonts w:hint="eastAsia" w:ascii="仿宋_GB2312" w:hAnsi="仿宋_GB2312" w:eastAsia="仿宋_GB2312" w:cs="仿宋_GB2312"/>
          <w:b/>
          <w:bCs/>
          <w:kern w:val="2"/>
          <w:sz w:val="32"/>
          <w:szCs w:val="32"/>
          <w:lang w:bidi="ar"/>
        </w:rPr>
        <w:t>④</w:t>
      </w:r>
      <w:r>
        <w:rPr>
          <w:rFonts w:hint="eastAsia" w:ascii="仿宋_GB2312" w:hAnsi="仿宋_GB2312" w:eastAsia="仿宋_GB2312" w:cs="仿宋_GB2312"/>
          <w:b/>
          <w:bCs/>
          <w:color w:val="auto"/>
          <w:kern w:val="2"/>
          <w:sz w:val="32"/>
          <w:szCs w:val="32"/>
          <w:lang w:bidi="ar"/>
        </w:rPr>
        <w:t>可持续影响指标。</w:t>
      </w:r>
      <w:bookmarkEnd w:id="13"/>
      <w:bookmarkEnd w:id="14"/>
    </w:p>
    <w:p>
      <w:pPr>
        <w:widowControl w:val="0"/>
        <w:adjustRightInd/>
        <w:snapToGrid/>
        <w:spacing w:line="360" w:lineRule="auto"/>
        <w:ind w:firstLine="643" w:firstLineChars="200"/>
        <w:jc w:val="both"/>
        <w:rPr>
          <w:rFonts w:ascii="仿宋_GB2312" w:hAnsi="仿宋_GB2312" w:eastAsia="仿宋_GB2312" w:cs="仿宋_GB2312"/>
          <w:bCs/>
          <w:color w:val="auto"/>
          <w:kern w:val="2"/>
          <w:sz w:val="32"/>
          <w:szCs w:val="32"/>
          <w:lang w:bidi="ar"/>
        </w:rPr>
      </w:pPr>
      <w:r>
        <w:rPr>
          <w:rFonts w:hint="eastAsia" w:ascii="仿宋_GB2312" w:hAnsi="仿宋_GB2312" w:eastAsia="仿宋_GB2312" w:cs="仿宋_GB2312"/>
          <w:b/>
          <w:color w:val="auto"/>
          <w:kern w:val="2"/>
          <w:sz w:val="32"/>
          <w:szCs w:val="32"/>
          <w:lang w:bidi="ar"/>
        </w:rPr>
        <w:t>“政策或制度可持续”。</w:t>
      </w:r>
      <w:r>
        <w:rPr>
          <w:rFonts w:hint="eastAsia" w:ascii="仿宋_GB2312" w:hAnsi="仿宋_GB2312" w:eastAsia="仿宋_GB2312" w:cs="仿宋_GB2312"/>
          <w:bCs/>
          <w:color w:val="auto"/>
          <w:kern w:val="2"/>
          <w:sz w:val="32"/>
          <w:szCs w:val="32"/>
          <w:lang w:bidi="ar"/>
        </w:rPr>
        <w:t>根据党的二十大报告提出“建立生态产品价值实现机制，完善生态保护补偿机制”发展战略以及广东省财政厅、林业局印发的《广东省省级生态公益林效益补偿资金管理办法》（粤财农〔2018〕322号），项目和制度具备可持续性。该指标分值5分，自评得分5分，得分率为100%。</w:t>
      </w:r>
    </w:p>
    <w:p>
      <w:pPr>
        <w:widowControl w:val="0"/>
        <w:adjustRightInd/>
        <w:snapToGrid/>
        <w:spacing w:line="360" w:lineRule="auto"/>
        <w:ind w:firstLine="643" w:firstLineChars="200"/>
        <w:jc w:val="both"/>
        <w:rPr>
          <w:rFonts w:ascii="仿宋_GB2312" w:hAnsi="仿宋_GB2312" w:eastAsia="仿宋_GB2312" w:cs="仿宋_GB2312"/>
          <w:bCs/>
          <w:color w:val="auto"/>
          <w:kern w:val="2"/>
          <w:sz w:val="32"/>
          <w:szCs w:val="32"/>
          <w:lang w:bidi="ar"/>
        </w:rPr>
      </w:pPr>
      <w:r>
        <w:rPr>
          <w:rFonts w:hint="eastAsia" w:ascii="仿宋_GB2312" w:hAnsi="仿宋_GB2312" w:eastAsia="仿宋_GB2312" w:cs="仿宋_GB2312"/>
          <w:b/>
          <w:color w:val="auto"/>
          <w:kern w:val="2"/>
          <w:sz w:val="32"/>
          <w:szCs w:val="32"/>
          <w:lang w:bidi="ar"/>
        </w:rPr>
        <w:t>“机制可持续（如管护、经费投入等）”</w:t>
      </w:r>
      <w:r>
        <w:rPr>
          <w:rFonts w:hint="eastAsia" w:ascii="仿宋_GB2312" w:hAnsi="仿宋_GB2312" w:eastAsia="仿宋_GB2312" w:cs="仿宋_GB2312"/>
          <w:bCs/>
          <w:color w:val="auto"/>
          <w:kern w:val="2"/>
          <w:sz w:val="32"/>
          <w:szCs w:val="32"/>
          <w:lang w:bidi="ar"/>
        </w:rPr>
        <w:t>。根据党的二十大报告提出“建立生态产品价值实现机制，完善生态保护补偿机制”发展战略以及广东省财政厅、林业局印发的《广东省省级生态公益林效益补偿资金管理办法》（粤财农〔2018〕322 号），管护投入及机制具备可持续性。该指标分值5分，自评得分5分，得分率为100%。</w:t>
      </w:r>
    </w:p>
    <w:p>
      <w:pPr>
        <w:widowControl w:val="0"/>
        <w:adjustRightInd/>
        <w:snapToGrid/>
        <w:spacing w:line="360" w:lineRule="auto"/>
        <w:ind w:firstLine="643" w:firstLineChars="200"/>
        <w:jc w:val="both"/>
        <w:rPr>
          <w:rFonts w:ascii="仿宋_GB2312" w:hAnsi="仿宋_GB2312" w:eastAsia="仿宋_GB2312" w:cs="仿宋_GB2312"/>
          <w:bCs/>
          <w:color w:val="auto"/>
          <w:kern w:val="2"/>
          <w:sz w:val="32"/>
          <w:szCs w:val="32"/>
          <w:lang w:bidi="ar"/>
        </w:rPr>
      </w:pPr>
      <w:r>
        <w:rPr>
          <w:rFonts w:hint="eastAsia" w:ascii="仿宋_GB2312" w:hAnsi="仿宋_GB2312" w:eastAsia="仿宋_GB2312" w:cs="仿宋_GB2312"/>
          <w:b/>
          <w:color w:val="auto"/>
          <w:kern w:val="2"/>
          <w:sz w:val="32"/>
          <w:szCs w:val="32"/>
          <w:lang w:bidi="ar"/>
        </w:rPr>
        <w:t>“公益林示范区示范效应（是否明显）”</w:t>
      </w:r>
      <w:r>
        <w:rPr>
          <w:rFonts w:hint="eastAsia" w:ascii="仿宋_GB2312" w:hAnsi="仿宋_GB2312" w:eastAsia="仿宋_GB2312" w:cs="仿宋_GB2312"/>
          <w:bCs/>
          <w:color w:val="auto"/>
          <w:kern w:val="2"/>
          <w:sz w:val="32"/>
          <w:szCs w:val="32"/>
          <w:lang w:bidi="ar"/>
        </w:rPr>
        <w:t>。根据16个公益林示范区项目的相关材料，项目具备示范效应。该指标分值5分，自评得分5分，得分率为100%。</w:t>
      </w:r>
    </w:p>
    <w:p>
      <w:pPr>
        <w:widowControl w:val="0"/>
        <w:adjustRightInd/>
        <w:snapToGrid/>
        <w:spacing w:line="360" w:lineRule="auto"/>
        <w:ind w:firstLine="643" w:firstLineChars="200"/>
        <w:jc w:val="both"/>
        <w:rPr>
          <w:rFonts w:ascii="仿宋_GB2312" w:hAnsi="仿宋_GB2312" w:eastAsia="仿宋_GB2312" w:cs="仿宋_GB2312"/>
          <w:b/>
          <w:color w:val="auto"/>
          <w:kern w:val="2"/>
          <w:sz w:val="32"/>
          <w:szCs w:val="32"/>
          <w:lang w:bidi="ar"/>
        </w:rPr>
      </w:pPr>
      <w:bookmarkStart w:id="15" w:name="_Toc107144632"/>
      <w:bookmarkStart w:id="16" w:name="_Toc107136769"/>
      <w:r>
        <w:rPr>
          <w:rFonts w:hint="eastAsia" w:ascii="仿宋_GB2312" w:hAnsi="仿宋_GB2312" w:eastAsia="仿宋_GB2312" w:cs="仿宋_GB2312"/>
          <w:b/>
          <w:color w:val="auto"/>
          <w:kern w:val="2"/>
          <w:sz w:val="32"/>
          <w:szCs w:val="32"/>
          <w:lang w:bidi="ar"/>
        </w:rPr>
        <w:t>⑤服务对象满意度指标。</w:t>
      </w:r>
      <w:bookmarkEnd w:id="15"/>
      <w:bookmarkEnd w:id="16"/>
    </w:p>
    <w:p>
      <w:pPr>
        <w:widowControl w:val="0"/>
        <w:adjustRightInd/>
        <w:snapToGrid/>
        <w:spacing w:line="360" w:lineRule="auto"/>
        <w:ind w:firstLine="643" w:firstLineChars="200"/>
        <w:jc w:val="both"/>
        <w:rPr>
          <w:rFonts w:ascii="仿宋_GB2312" w:hAnsi="仿宋_GB2312" w:eastAsia="仿宋_GB2312" w:cs="仿宋_GB2312"/>
          <w:bCs/>
          <w:color w:val="auto"/>
          <w:kern w:val="2"/>
          <w:sz w:val="32"/>
          <w:szCs w:val="32"/>
          <w:lang w:bidi="ar"/>
        </w:rPr>
      </w:pPr>
      <w:r>
        <w:rPr>
          <w:rFonts w:hint="eastAsia" w:ascii="仿宋_GB2312" w:hAnsi="仿宋_GB2312" w:eastAsia="仿宋_GB2312" w:cs="仿宋_GB2312"/>
          <w:b/>
          <w:color w:val="auto"/>
          <w:kern w:val="2"/>
          <w:sz w:val="32"/>
          <w:szCs w:val="32"/>
          <w:lang w:bidi="ar"/>
        </w:rPr>
        <w:t>“受益人员满意度”。</w:t>
      </w:r>
      <w:r>
        <w:rPr>
          <w:rFonts w:hint="eastAsia" w:ascii="仿宋_GB2312" w:hAnsi="仿宋_GB2312" w:eastAsia="仿宋_GB2312" w:cs="仿宋_GB2312"/>
          <w:bCs/>
          <w:color w:val="auto"/>
          <w:kern w:val="2"/>
          <w:sz w:val="32"/>
          <w:szCs w:val="32"/>
          <w:lang w:bidi="ar"/>
        </w:rPr>
        <w:t>指标通过各地市及省直单位提交的自评调查结果汇总，共发放调查问卷约16135份，满意度平均值97.</w:t>
      </w:r>
      <w:r>
        <w:rPr>
          <w:rFonts w:ascii="仿宋_GB2312" w:hAnsi="仿宋_GB2312" w:eastAsia="仿宋_GB2312" w:cs="仿宋_GB2312"/>
          <w:bCs/>
          <w:color w:val="auto"/>
          <w:kern w:val="2"/>
          <w:sz w:val="32"/>
          <w:szCs w:val="32"/>
          <w:lang w:bidi="ar"/>
        </w:rPr>
        <w:t>3</w:t>
      </w:r>
      <w:r>
        <w:rPr>
          <w:rFonts w:hint="eastAsia" w:ascii="仿宋_GB2312" w:hAnsi="仿宋_GB2312" w:eastAsia="仿宋_GB2312" w:cs="仿宋_GB2312"/>
          <w:bCs/>
          <w:color w:val="auto"/>
          <w:kern w:val="2"/>
          <w:sz w:val="32"/>
          <w:szCs w:val="32"/>
          <w:lang w:bidi="ar"/>
        </w:rPr>
        <w:t>%。该指标分值5分，自评得5分，得分率为100%。</w:t>
      </w:r>
    </w:p>
    <w:p>
      <w:pPr>
        <w:pStyle w:val="4"/>
        <w:adjustRightInd/>
        <w:snapToGrid/>
        <w:spacing w:line="360" w:lineRule="auto"/>
        <w:ind w:firstLine="640"/>
        <w:rPr>
          <w:rFonts w:ascii="楷体_GB2312" w:hAnsi="楷体_GB2312" w:eastAsia="楷体_GB2312" w:cs="楷体_GB2312"/>
          <w:b/>
          <w:bCs w:val="0"/>
        </w:rPr>
      </w:pPr>
      <w:bookmarkStart w:id="17" w:name="_Toc23687"/>
      <w:r>
        <w:rPr>
          <w:rFonts w:hint="eastAsia" w:ascii="楷体_GB2312" w:hAnsi="楷体_GB2312" w:eastAsia="楷体_GB2312" w:cs="楷体_GB2312"/>
          <w:b/>
          <w:bCs w:val="0"/>
        </w:rPr>
        <w:t>（二）专项资金使用绩效</w:t>
      </w:r>
      <w:bookmarkEnd w:id="17"/>
    </w:p>
    <w:p>
      <w:pPr>
        <w:pStyle w:val="5"/>
        <w:adjustRightInd/>
        <w:snapToGrid/>
        <w:spacing w:line="360" w:lineRule="auto"/>
        <w:ind w:firstLine="640"/>
        <w:rPr>
          <w:rFonts w:ascii="仿宋_GB2312" w:hAnsi="仿宋_GB2312" w:eastAsia="仿宋_GB2312" w:cs="仿宋_GB2312"/>
          <w:bCs w:val="0"/>
        </w:rPr>
      </w:pPr>
      <w:bookmarkStart w:id="18" w:name="_Toc22314"/>
      <w:r>
        <w:rPr>
          <w:rFonts w:hint="eastAsia" w:ascii="仿宋_GB2312" w:hAnsi="仿宋_GB2312" w:eastAsia="仿宋_GB2312" w:cs="仿宋_GB2312"/>
          <w:bCs w:val="0"/>
          <w:color w:val="auto"/>
        </w:rPr>
        <w:t>1.专项资金支出情况。</w:t>
      </w:r>
      <w:bookmarkEnd w:id="18"/>
    </w:p>
    <w:p>
      <w:pPr>
        <w:adjustRightInd/>
        <w:snapToGrid/>
        <w:spacing w:line="360" w:lineRule="auto"/>
        <w:ind w:firstLine="640" w:firstLineChars="200"/>
        <w:jc w:val="both"/>
        <w:rPr>
          <w:rFonts w:ascii="仿宋" w:eastAsia="仿宋" w:cs="Times New Roman"/>
          <w:sz w:val="32"/>
          <w:szCs w:val="32"/>
        </w:rPr>
      </w:pPr>
      <w:r>
        <w:rPr>
          <w:rFonts w:hint="eastAsia" w:ascii="仿宋_GB2312" w:hAnsi="Times New Roman" w:eastAsia="仿宋_GB2312" w:cs="仿宋_GB2312"/>
          <w:bCs/>
          <w:color w:val="auto"/>
          <w:kern w:val="2"/>
          <w:sz w:val="32"/>
          <w:szCs w:val="32"/>
          <w:lang w:bidi="ar"/>
        </w:rPr>
        <w:t>根据广东省财政厅发布《广东省财政厅关于提前下达</w:t>
      </w:r>
      <w:r>
        <w:rPr>
          <w:rFonts w:ascii="仿宋_GB2312" w:hAnsi="Times New Roman" w:eastAsia="仿宋_GB2312" w:cs="仿宋_GB2312"/>
          <w:bCs/>
          <w:color w:val="auto"/>
          <w:kern w:val="2"/>
          <w:sz w:val="32"/>
          <w:szCs w:val="32"/>
          <w:lang w:bidi="ar"/>
        </w:rPr>
        <w:t>2022</w:t>
      </w:r>
      <w:r>
        <w:rPr>
          <w:rFonts w:hint="eastAsia" w:ascii="仿宋_GB2312" w:hAnsi="Times New Roman" w:eastAsia="仿宋_GB2312" w:cs="仿宋_GB2312"/>
          <w:bCs/>
          <w:color w:val="auto"/>
          <w:kern w:val="2"/>
          <w:sz w:val="32"/>
          <w:szCs w:val="32"/>
          <w:lang w:bidi="ar"/>
        </w:rPr>
        <w:t>年省级以上生态公益林效益补偿资金的通知》（粤财资环〔</w:t>
      </w:r>
      <w:r>
        <w:rPr>
          <w:rFonts w:ascii="仿宋_GB2312" w:hAnsi="Times New Roman" w:eastAsia="仿宋_GB2312" w:cs="仿宋_GB2312"/>
          <w:bCs/>
          <w:color w:val="auto"/>
          <w:kern w:val="2"/>
          <w:sz w:val="32"/>
          <w:szCs w:val="32"/>
          <w:lang w:bidi="ar"/>
        </w:rPr>
        <w:t>2021</w:t>
      </w:r>
      <w:r>
        <w:rPr>
          <w:rFonts w:hint="eastAsia" w:ascii="仿宋_GB2312" w:hAnsi="Times New Roman" w:eastAsia="仿宋_GB2312" w:cs="仿宋_GB2312"/>
          <w:bCs/>
          <w:color w:val="auto"/>
          <w:kern w:val="2"/>
          <w:sz w:val="32"/>
          <w:szCs w:val="32"/>
          <w:lang w:bidi="ar"/>
        </w:rPr>
        <w:t>〕</w:t>
      </w:r>
      <w:r>
        <w:rPr>
          <w:rFonts w:ascii="仿宋_GB2312" w:hAnsi="Times New Roman" w:eastAsia="仿宋_GB2312" w:cs="仿宋_GB2312"/>
          <w:bCs/>
          <w:color w:val="auto"/>
          <w:kern w:val="2"/>
          <w:sz w:val="32"/>
          <w:szCs w:val="32"/>
          <w:lang w:bidi="ar"/>
        </w:rPr>
        <w:t>136</w:t>
      </w:r>
      <w:r>
        <w:rPr>
          <w:rFonts w:hint="eastAsia" w:ascii="仿宋_GB2312" w:hAnsi="Times New Roman" w:eastAsia="仿宋_GB2312" w:cs="仿宋_GB2312"/>
          <w:bCs/>
          <w:color w:val="auto"/>
          <w:kern w:val="2"/>
          <w:sz w:val="32"/>
          <w:szCs w:val="32"/>
          <w:lang w:bidi="ar"/>
        </w:rPr>
        <w:t>号），《广东省财政厅关于安排</w:t>
      </w:r>
      <w:r>
        <w:rPr>
          <w:rFonts w:ascii="仿宋_GB2312" w:hAnsi="Times New Roman" w:eastAsia="仿宋_GB2312" w:cs="仿宋_GB2312"/>
          <w:bCs/>
          <w:color w:val="auto"/>
          <w:kern w:val="2"/>
          <w:sz w:val="32"/>
          <w:szCs w:val="32"/>
          <w:lang w:bidi="ar"/>
        </w:rPr>
        <w:t>2022</w:t>
      </w:r>
      <w:r>
        <w:rPr>
          <w:rFonts w:hint="eastAsia" w:ascii="仿宋_GB2312" w:hAnsi="Times New Roman" w:eastAsia="仿宋_GB2312" w:cs="仿宋_GB2312"/>
          <w:bCs/>
          <w:color w:val="auto"/>
          <w:kern w:val="2"/>
          <w:sz w:val="32"/>
          <w:szCs w:val="32"/>
          <w:lang w:bidi="ar"/>
        </w:rPr>
        <w:t>年度第二批省级以上生态公益林效益补偿资金的通知》（粤财资环〔</w:t>
      </w:r>
      <w:r>
        <w:rPr>
          <w:rFonts w:ascii="仿宋_GB2312" w:hAnsi="Times New Roman" w:eastAsia="仿宋_GB2312" w:cs="仿宋_GB2312"/>
          <w:bCs/>
          <w:color w:val="auto"/>
          <w:kern w:val="2"/>
          <w:sz w:val="32"/>
          <w:szCs w:val="32"/>
          <w:lang w:bidi="ar"/>
        </w:rPr>
        <w:t>2022</w:t>
      </w:r>
      <w:r>
        <w:rPr>
          <w:rFonts w:hint="eastAsia" w:ascii="仿宋_GB2312" w:hAnsi="Times New Roman" w:eastAsia="仿宋_GB2312" w:cs="仿宋_GB2312"/>
          <w:bCs/>
          <w:color w:val="auto"/>
          <w:kern w:val="2"/>
          <w:sz w:val="32"/>
          <w:szCs w:val="32"/>
          <w:lang w:bidi="ar"/>
        </w:rPr>
        <w:t>〕</w:t>
      </w:r>
      <w:r>
        <w:rPr>
          <w:rFonts w:ascii="仿宋_GB2312" w:hAnsi="Times New Roman" w:eastAsia="仿宋_GB2312" w:cs="仿宋_GB2312"/>
          <w:bCs/>
          <w:color w:val="auto"/>
          <w:kern w:val="2"/>
          <w:sz w:val="32"/>
          <w:szCs w:val="32"/>
          <w:lang w:bidi="ar"/>
        </w:rPr>
        <w:t>79</w:t>
      </w:r>
      <w:r>
        <w:rPr>
          <w:rFonts w:hint="eastAsia" w:ascii="仿宋_GB2312" w:hAnsi="Times New Roman" w:eastAsia="仿宋_GB2312" w:cs="仿宋_GB2312"/>
          <w:bCs/>
          <w:color w:val="auto"/>
          <w:kern w:val="2"/>
          <w:sz w:val="32"/>
          <w:szCs w:val="32"/>
          <w:lang w:bidi="ar"/>
        </w:rPr>
        <w:t>号），</w:t>
      </w:r>
      <w:r>
        <w:rPr>
          <w:rFonts w:ascii="仿宋_GB2312" w:hAnsi="Times New Roman" w:eastAsia="仿宋_GB2312" w:cs="仿宋_GB2312"/>
          <w:bCs/>
          <w:color w:val="auto"/>
          <w:kern w:val="2"/>
          <w:sz w:val="32"/>
          <w:szCs w:val="32"/>
          <w:lang w:bidi="ar"/>
        </w:rPr>
        <w:t>2022</w:t>
      </w:r>
      <w:r>
        <w:rPr>
          <w:rFonts w:hint="eastAsia" w:ascii="仿宋_GB2312" w:hAnsi="Times New Roman" w:eastAsia="仿宋_GB2312" w:cs="仿宋_GB2312"/>
          <w:bCs/>
          <w:color w:val="auto"/>
          <w:kern w:val="2"/>
          <w:sz w:val="32"/>
          <w:szCs w:val="32"/>
          <w:lang w:bidi="ar"/>
        </w:rPr>
        <w:t>年度</w:t>
      </w:r>
      <w:r>
        <w:rPr>
          <w:rFonts w:hint="eastAsia" w:ascii="仿宋_GB2312" w:hAnsi="仿宋_GB2312" w:eastAsia="仿宋_GB2312" w:cs="仿宋_GB2312"/>
          <w:snapToGrid/>
          <w:color w:val="auto"/>
          <w:kern w:val="2"/>
          <w:sz w:val="32"/>
          <w:szCs w:val="24"/>
        </w:rPr>
        <w:t>“省级以上生态公益林效益补偿资金”项目</w:t>
      </w:r>
      <w:r>
        <w:rPr>
          <w:rFonts w:hint="eastAsia" w:ascii="仿宋_GB2312" w:hAnsi="Times New Roman" w:eastAsia="仿宋_GB2312" w:cs="仿宋_GB2312"/>
          <w:bCs/>
          <w:color w:val="auto"/>
          <w:kern w:val="2"/>
          <w:sz w:val="32"/>
          <w:szCs w:val="32"/>
          <w:lang w:bidi="ar"/>
        </w:rPr>
        <w:t>预算批复为</w:t>
      </w:r>
      <w:r>
        <w:rPr>
          <w:rFonts w:ascii="仿宋_GB2312" w:hAnsi="Times New Roman" w:eastAsia="仿宋_GB2312" w:cs="仿宋_GB2312"/>
          <w:bCs/>
          <w:color w:val="auto"/>
          <w:kern w:val="2"/>
          <w:sz w:val="32"/>
          <w:szCs w:val="32"/>
          <w:lang w:bidi="ar"/>
        </w:rPr>
        <w:t>265511.00</w:t>
      </w:r>
      <w:r>
        <w:rPr>
          <w:rFonts w:hint="eastAsia" w:ascii="仿宋_GB2312" w:hAnsi="Times New Roman" w:eastAsia="仿宋_GB2312" w:cs="仿宋_GB2312"/>
          <w:bCs/>
          <w:color w:val="auto"/>
          <w:kern w:val="2"/>
          <w:sz w:val="32"/>
          <w:szCs w:val="32"/>
          <w:lang w:bidi="ar"/>
        </w:rPr>
        <w:t>万元，实际到位</w:t>
      </w:r>
      <w:r>
        <w:rPr>
          <w:rFonts w:ascii="仿宋_GB2312" w:hAnsi="Times New Roman" w:eastAsia="仿宋_GB2312" w:cs="仿宋_GB2312"/>
          <w:bCs/>
          <w:color w:val="auto"/>
          <w:kern w:val="2"/>
          <w:sz w:val="32"/>
          <w:szCs w:val="32"/>
          <w:lang w:bidi="ar"/>
        </w:rPr>
        <w:t>265511.00</w:t>
      </w:r>
      <w:r>
        <w:rPr>
          <w:rFonts w:hint="eastAsia" w:ascii="仿宋_GB2312" w:hAnsi="Times New Roman" w:eastAsia="仿宋_GB2312" w:cs="仿宋_GB2312"/>
          <w:bCs/>
          <w:color w:val="auto"/>
          <w:kern w:val="2"/>
          <w:sz w:val="32"/>
          <w:szCs w:val="32"/>
          <w:lang w:bidi="ar"/>
        </w:rPr>
        <w:t>万元，资金到位率</w:t>
      </w:r>
      <w:r>
        <w:rPr>
          <w:rFonts w:ascii="仿宋_GB2312" w:hAnsi="Times New Roman" w:eastAsia="仿宋_GB2312" w:cs="仿宋_GB2312"/>
          <w:bCs/>
          <w:color w:val="auto"/>
          <w:kern w:val="2"/>
          <w:sz w:val="32"/>
          <w:szCs w:val="32"/>
          <w:lang w:bidi="ar"/>
        </w:rPr>
        <w:t>100%</w:t>
      </w:r>
      <w:r>
        <w:rPr>
          <w:rFonts w:hint="eastAsia" w:ascii="仿宋_GB2312" w:hAnsi="Times New Roman" w:eastAsia="仿宋_GB2312" w:cs="仿宋_GB2312"/>
          <w:bCs/>
          <w:color w:val="auto"/>
          <w:kern w:val="2"/>
          <w:sz w:val="32"/>
          <w:szCs w:val="32"/>
          <w:lang w:bidi="ar"/>
        </w:rPr>
        <w:t>。截止</w:t>
      </w:r>
      <w:r>
        <w:rPr>
          <w:rFonts w:ascii="仿宋_GB2312" w:hAnsi="Times New Roman" w:eastAsia="仿宋_GB2312" w:cs="仿宋_GB2312"/>
          <w:bCs/>
          <w:color w:val="auto"/>
          <w:kern w:val="2"/>
          <w:sz w:val="32"/>
          <w:szCs w:val="32"/>
          <w:lang w:bidi="ar"/>
        </w:rPr>
        <w:t>2022</w:t>
      </w:r>
      <w:r>
        <w:rPr>
          <w:rFonts w:hint="eastAsia" w:ascii="仿宋_GB2312" w:hAnsi="Times New Roman" w:eastAsia="仿宋_GB2312" w:cs="仿宋_GB2312"/>
          <w:bCs/>
          <w:color w:val="auto"/>
          <w:kern w:val="2"/>
          <w:sz w:val="32"/>
          <w:szCs w:val="32"/>
          <w:lang w:bidi="ar"/>
        </w:rPr>
        <w:t>年</w:t>
      </w:r>
      <w:r>
        <w:rPr>
          <w:rFonts w:ascii="仿宋_GB2312" w:hAnsi="Times New Roman" w:eastAsia="仿宋_GB2312" w:cs="仿宋_GB2312"/>
          <w:bCs/>
          <w:color w:val="auto"/>
          <w:kern w:val="2"/>
          <w:sz w:val="32"/>
          <w:szCs w:val="32"/>
          <w:lang w:bidi="ar"/>
        </w:rPr>
        <w:t>12</w:t>
      </w:r>
      <w:r>
        <w:rPr>
          <w:rFonts w:hint="eastAsia" w:ascii="仿宋_GB2312" w:hAnsi="Times New Roman" w:eastAsia="仿宋_GB2312" w:cs="仿宋_GB2312"/>
          <w:bCs/>
          <w:color w:val="auto"/>
          <w:kern w:val="2"/>
          <w:sz w:val="32"/>
          <w:szCs w:val="32"/>
          <w:lang w:bidi="ar"/>
        </w:rPr>
        <w:t>月</w:t>
      </w:r>
      <w:r>
        <w:rPr>
          <w:rFonts w:ascii="仿宋_GB2312" w:hAnsi="Times New Roman" w:eastAsia="仿宋_GB2312" w:cs="仿宋_GB2312"/>
          <w:bCs/>
          <w:color w:val="auto"/>
          <w:kern w:val="2"/>
          <w:sz w:val="32"/>
          <w:szCs w:val="32"/>
          <w:lang w:bidi="ar"/>
        </w:rPr>
        <w:t>31</w:t>
      </w:r>
      <w:r>
        <w:rPr>
          <w:rFonts w:hint="eastAsia" w:ascii="仿宋_GB2312" w:hAnsi="Times New Roman" w:eastAsia="仿宋_GB2312" w:cs="仿宋_GB2312"/>
          <w:bCs/>
          <w:color w:val="auto"/>
          <w:kern w:val="2"/>
          <w:sz w:val="32"/>
          <w:szCs w:val="32"/>
          <w:lang w:bidi="ar"/>
        </w:rPr>
        <w:t>日，项目资金支出合计2</w:t>
      </w:r>
      <w:r>
        <w:rPr>
          <w:rFonts w:ascii="仿宋_GB2312" w:hAnsi="Times New Roman" w:eastAsia="仿宋_GB2312" w:cs="仿宋_GB2312"/>
          <w:bCs/>
          <w:color w:val="auto"/>
          <w:kern w:val="2"/>
          <w:sz w:val="32"/>
          <w:szCs w:val="32"/>
          <w:lang w:bidi="ar"/>
        </w:rPr>
        <w:t>30920.85</w:t>
      </w:r>
      <w:r>
        <w:rPr>
          <w:rFonts w:hint="eastAsia" w:ascii="仿宋_GB2312" w:hAnsi="Times New Roman" w:eastAsia="仿宋_GB2312" w:cs="仿宋_GB2312"/>
          <w:bCs/>
          <w:color w:val="auto"/>
          <w:kern w:val="2"/>
          <w:sz w:val="32"/>
          <w:szCs w:val="32"/>
          <w:lang w:bidi="ar"/>
        </w:rPr>
        <w:t>万元，执行率8</w:t>
      </w:r>
      <w:r>
        <w:rPr>
          <w:rFonts w:ascii="仿宋_GB2312" w:hAnsi="Times New Roman" w:eastAsia="仿宋_GB2312" w:cs="仿宋_GB2312"/>
          <w:bCs/>
          <w:color w:val="auto"/>
          <w:kern w:val="2"/>
          <w:sz w:val="32"/>
          <w:szCs w:val="32"/>
          <w:lang w:bidi="ar"/>
        </w:rPr>
        <w:t>6.97%</w:t>
      </w:r>
      <w:r>
        <w:rPr>
          <w:rFonts w:hint="eastAsia" w:ascii="仿宋_GB2312" w:hAnsi="Times New Roman" w:eastAsia="仿宋_GB2312" w:cs="仿宋_GB2312"/>
          <w:bCs/>
          <w:color w:val="auto"/>
          <w:kern w:val="2"/>
          <w:sz w:val="32"/>
          <w:szCs w:val="32"/>
          <w:lang w:bidi="ar"/>
        </w:rPr>
        <w:t>。根据资金归属单位的支出情况如表</w:t>
      </w:r>
      <w:r>
        <w:rPr>
          <w:rFonts w:ascii="仿宋_GB2312" w:hAnsi="Times New Roman" w:eastAsia="仿宋_GB2312" w:cs="仿宋_GB2312"/>
          <w:bCs/>
          <w:color w:val="auto"/>
          <w:kern w:val="2"/>
          <w:sz w:val="32"/>
          <w:szCs w:val="32"/>
          <w:lang w:bidi="ar"/>
        </w:rPr>
        <w:t>2-</w:t>
      </w:r>
      <w:r>
        <w:rPr>
          <w:rFonts w:hint="eastAsia" w:ascii="仿宋_GB2312" w:hAnsi="Times New Roman" w:eastAsia="仿宋_GB2312" w:cs="仿宋_GB2312"/>
          <w:bCs/>
          <w:color w:val="auto"/>
          <w:kern w:val="2"/>
          <w:sz w:val="32"/>
          <w:szCs w:val="32"/>
          <w:lang w:bidi="ar"/>
        </w:rPr>
        <w:t>6所示</w:t>
      </w:r>
      <w:r>
        <w:rPr>
          <w:rFonts w:hint="eastAsia" w:ascii="仿宋" w:eastAsia="仿宋" w:cs="Times New Roman"/>
          <w:bCs/>
          <w:sz w:val="32"/>
          <w:szCs w:val="32"/>
        </w:rPr>
        <w:t>。</w:t>
      </w:r>
    </w:p>
    <w:p>
      <w:pPr>
        <w:adjustRightInd/>
        <w:snapToGrid/>
        <w:spacing w:line="360" w:lineRule="auto"/>
        <w:jc w:val="center"/>
        <w:rPr>
          <w:rFonts w:ascii="黑体" w:hAnsi="黑体" w:eastAsia="黑体" w:cs="黑体"/>
          <w:sz w:val="28"/>
          <w:szCs w:val="28"/>
        </w:rPr>
      </w:pPr>
      <w:r>
        <w:rPr>
          <w:rFonts w:hint="eastAsia" w:ascii="黑体" w:hAnsi="黑体" w:eastAsia="黑体" w:cs="黑体"/>
          <w:sz w:val="28"/>
          <w:szCs w:val="28"/>
        </w:rPr>
        <w:t>表2-6 “省级以上生态公益林效益补偿资金”支出统计情况表</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5"/>
        <w:gridCol w:w="2252"/>
        <w:gridCol w:w="1838"/>
        <w:gridCol w:w="1703"/>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shd w:val="clear" w:color="auto" w:fill="D6E3BC"/>
            <w:vAlign w:val="center"/>
          </w:tcPr>
          <w:p>
            <w:pPr>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1320" w:type="pct"/>
            <w:shd w:val="clear" w:color="auto" w:fill="D6E3BC"/>
            <w:vAlign w:val="center"/>
          </w:tcPr>
          <w:p>
            <w:pPr>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项目单位</w:t>
            </w:r>
          </w:p>
        </w:tc>
        <w:tc>
          <w:tcPr>
            <w:tcW w:w="1078" w:type="pct"/>
            <w:shd w:val="clear" w:color="auto" w:fill="D6E3BC"/>
            <w:vAlign w:val="center"/>
          </w:tcPr>
          <w:p>
            <w:pPr>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下达金额</w:t>
            </w:r>
          </w:p>
          <w:p>
            <w:pPr>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（万元）</w:t>
            </w:r>
          </w:p>
        </w:tc>
        <w:tc>
          <w:tcPr>
            <w:tcW w:w="999" w:type="pct"/>
            <w:shd w:val="clear" w:color="auto" w:fill="D6E3BC"/>
            <w:vAlign w:val="center"/>
          </w:tcPr>
          <w:p>
            <w:pPr>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支出金额</w:t>
            </w:r>
          </w:p>
          <w:p>
            <w:pPr>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（万元）</w:t>
            </w:r>
          </w:p>
        </w:tc>
        <w:tc>
          <w:tcPr>
            <w:tcW w:w="1175" w:type="pct"/>
            <w:shd w:val="clear" w:color="auto" w:fill="D6E3BC"/>
            <w:vAlign w:val="center"/>
          </w:tcPr>
          <w:p>
            <w:pPr>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pacing w:val="-11"/>
                <w:sz w:val="24"/>
                <w:szCs w:val="24"/>
              </w:rPr>
              <w:t>资金总支出率（%）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汕头市</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2021.05</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1906.34</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韶关市</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37833.76</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32294.06</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河源市</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37920.43</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34696.26</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梅州市</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39161.69</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22452.02</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惠州市</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18239.54</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16824.19</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汕尾市</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7117.89</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5258.72</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江门市</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9819.05</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9504.96</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阳江市</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10302.61</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9675.64</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湛江市</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3094.14</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2866.77</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茂名市</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14081.45</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13704.31</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肇庆市</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20528.37</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19866.68</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清远市</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32960.01</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30582.89</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潮州市</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5081.5</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5062.73</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揭阳市</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7194.18</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7140.83</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15</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云浮市</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12312.59</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11281.92</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广州市</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200</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200</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17</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乳阳林场</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890.11</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890.11</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18</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沙头角林场</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27.93</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27.64</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龙眼洞林场</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64.75</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64.75</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天井山林场</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1330.56</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1330.56</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21</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樟木头林场</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434.4</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434.4</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乐昌林场</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168.92</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168.92</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连山林场</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308.16</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308.16</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东江林场</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259.26</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259.26</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九连山林场</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304.26</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304.21</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西江林场</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580.27</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579.84</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27</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德庆林场</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263.9</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263.9</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28</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郁南林场</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597.66</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597.66</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29</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云浮林场</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608.5</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608.5</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30</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林科院西江分院</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2.69</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2.69</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31</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国营雷州局</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58.54</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58.54</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省农垦总局</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136.83</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136.83</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33</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省林业局机关</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868</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861.68</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34</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政务中心</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460</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435.31</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35</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广东车八岭国家级自然保护区管理局</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64</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64</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36</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pacing w:val="-11"/>
                <w:sz w:val="24"/>
                <w:szCs w:val="24"/>
              </w:rPr>
              <w:t>广东潮安凤凰山省级自然保护区管理处</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200</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191.6</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42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37</w:t>
            </w:r>
          </w:p>
        </w:tc>
        <w:tc>
          <w:tcPr>
            <w:tcW w:w="1320"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pacing w:val="-11"/>
                <w:sz w:val="24"/>
                <w:szCs w:val="24"/>
              </w:rPr>
              <w:t>广东曲江罗坑鳄蜥省级自然保护区管理处</w:t>
            </w:r>
          </w:p>
        </w:tc>
        <w:tc>
          <w:tcPr>
            <w:tcW w:w="1078"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14</w:t>
            </w:r>
          </w:p>
        </w:tc>
        <w:tc>
          <w:tcPr>
            <w:tcW w:w="999"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13.91</w:t>
            </w:r>
          </w:p>
        </w:tc>
        <w:tc>
          <w:tcPr>
            <w:tcW w:w="1175" w:type="pct"/>
            <w:vAlign w:val="center"/>
          </w:tcPr>
          <w:p>
            <w:pPr>
              <w:jc w:val="center"/>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99.36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746" w:type="pct"/>
            <w:gridSpan w:val="2"/>
            <w:shd w:val="clear" w:color="auto" w:fill="D6E3BC"/>
            <w:vAlign w:val="center"/>
          </w:tcPr>
          <w:p>
            <w:pPr>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总计</w:t>
            </w:r>
          </w:p>
        </w:tc>
        <w:tc>
          <w:tcPr>
            <w:tcW w:w="1078" w:type="pct"/>
            <w:shd w:val="clear" w:color="auto" w:fill="D6E3BC"/>
            <w:vAlign w:val="center"/>
          </w:tcPr>
          <w:p>
            <w:pPr>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265511.00</w:t>
            </w:r>
          </w:p>
        </w:tc>
        <w:tc>
          <w:tcPr>
            <w:tcW w:w="999" w:type="pct"/>
            <w:shd w:val="clear" w:color="auto" w:fill="D6E3BC"/>
            <w:vAlign w:val="center"/>
          </w:tcPr>
          <w:p>
            <w:pPr>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230920.85</w:t>
            </w:r>
          </w:p>
        </w:tc>
        <w:tc>
          <w:tcPr>
            <w:tcW w:w="1175" w:type="pct"/>
            <w:shd w:val="clear" w:color="auto" w:fill="D6E3BC"/>
            <w:vAlign w:val="center"/>
          </w:tcPr>
          <w:p>
            <w:pPr>
              <w:jc w:val="center"/>
              <w:rPr>
                <w:rFonts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86.97</w:t>
            </w:r>
          </w:p>
        </w:tc>
      </w:tr>
    </w:tbl>
    <w:p>
      <w:pPr>
        <w:widowControl w:val="0"/>
        <w:kinsoku/>
        <w:autoSpaceDE/>
        <w:autoSpaceDN/>
        <w:adjustRightInd/>
        <w:snapToGrid/>
        <w:spacing w:before="156" w:beforeLines="50" w:line="360" w:lineRule="auto"/>
        <w:ind w:firstLine="640" w:firstLineChars="200"/>
        <w:jc w:val="both"/>
        <w:textAlignment w:val="auto"/>
        <w:rPr>
          <w:rFonts w:ascii="仿宋_GB2312" w:hAnsi="仿宋_GB2312" w:eastAsia="仿宋_GB2312" w:cs="仿宋_GB2312"/>
          <w:bCs/>
          <w:color w:val="auto"/>
          <w:kern w:val="2"/>
          <w:sz w:val="32"/>
          <w:szCs w:val="32"/>
          <w:lang w:bidi="ar"/>
        </w:rPr>
      </w:pPr>
      <w:r>
        <w:rPr>
          <w:rFonts w:hint="eastAsia" w:ascii="仿宋_GB2312" w:hAnsi="仿宋_GB2312" w:eastAsia="仿宋_GB2312" w:cs="仿宋_GB2312"/>
          <w:bCs/>
          <w:color w:val="auto"/>
          <w:kern w:val="2"/>
          <w:sz w:val="32"/>
          <w:szCs w:val="32"/>
          <w:lang w:bidi="ar"/>
        </w:rPr>
        <w:t>支出率不达90%的单位有韶关市、梅州市、汕尾市，其中韶关市主要是由于曲江区、武江区等区县财政紧张，导致资金无法到位；梅州市受疫情影响经济下行，虽然林业部门按时提交财政请款拨付补偿资金，但财政部门在统筹资金时出现困难，三保资金缺口较大，未能按时将补偿资金支出到位，截止至2022年12月31日，仍有18631.33万元补偿资金未支出，五华县、丰顺县、兴宁市支出率偏低；汕尾市截止到2022年12月31日，公益林补偿资金尚有1035.48万元未支出，主要是2022年公益林补偿资金采取财政授权下达支付额度，个别乡镇未及时依据授权下达额度开展资金支出，特殊区域补偿资金未及时发放。</w:t>
      </w:r>
    </w:p>
    <w:p>
      <w:pPr>
        <w:pStyle w:val="5"/>
        <w:adjustRightInd/>
        <w:snapToGrid/>
        <w:spacing w:line="360" w:lineRule="auto"/>
        <w:ind w:firstLine="640"/>
        <w:rPr>
          <w:rFonts w:ascii="仿宋_GB2312" w:hAnsi="仿宋_GB2312" w:eastAsia="仿宋_GB2312" w:cs="仿宋_GB2312"/>
          <w:bCs w:val="0"/>
          <w:color w:val="auto"/>
        </w:rPr>
      </w:pPr>
      <w:bookmarkStart w:id="19" w:name="_Toc5795"/>
      <w:r>
        <w:rPr>
          <w:rFonts w:hint="eastAsia" w:ascii="仿宋_GB2312" w:hAnsi="仿宋_GB2312" w:eastAsia="仿宋_GB2312" w:cs="仿宋_GB2312"/>
          <w:bCs w:val="0"/>
          <w:color w:val="auto"/>
        </w:rPr>
        <w:t>2.专项资金完成绩效目标情况。</w:t>
      </w:r>
      <w:bookmarkEnd w:id="19"/>
    </w:p>
    <w:p>
      <w:pPr>
        <w:widowControl w:val="0"/>
        <w:kinsoku/>
        <w:autoSpaceDE/>
        <w:autoSpaceDN/>
        <w:adjustRightInd/>
        <w:snapToGrid/>
        <w:spacing w:line="360" w:lineRule="auto"/>
        <w:ind w:firstLine="640" w:firstLineChars="200"/>
        <w:jc w:val="both"/>
        <w:textAlignment w:val="auto"/>
        <w:rPr>
          <w:rStyle w:val="27"/>
          <w:rFonts w:ascii="仿宋_GB2312" w:hAnsi="仿宋_GB2312" w:eastAsia="仿宋_GB2312" w:cs="仿宋_GB2312"/>
          <w:bCs w:val="0"/>
          <w:color w:val="auto"/>
        </w:rPr>
      </w:pPr>
      <w:r>
        <w:rPr>
          <w:rStyle w:val="27"/>
          <w:rFonts w:hint="eastAsia" w:ascii="仿宋_GB2312" w:hAnsi="仿宋_GB2312" w:eastAsia="仿宋_GB2312" w:cs="仿宋_GB2312"/>
          <w:bCs w:val="0"/>
          <w:color w:val="auto"/>
        </w:rPr>
        <w:t>“2022年省级以上公益林效益补偿资金”项目共投入2</w:t>
      </w:r>
      <w:r>
        <w:rPr>
          <w:rStyle w:val="27"/>
          <w:rFonts w:ascii="仿宋_GB2312" w:hAnsi="仿宋_GB2312" w:eastAsia="仿宋_GB2312" w:cs="仿宋_GB2312"/>
          <w:bCs w:val="0"/>
          <w:color w:val="auto"/>
        </w:rPr>
        <w:t>65511.00</w:t>
      </w:r>
      <w:r>
        <w:rPr>
          <w:rStyle w:val="27"/>
          <w:rFonts w:hint="eastAsia" w:ascii="仿宋_GB2312" w:hAnsi="仿宋_GB2312" w:eastAsia="仿宋_GB2312" w:cs="仿宋_GB2312"/>
          <w:bCs w:val="0"/>
          <w:color w:val="auto"/>
        </w:rPr>
        <w:t>万元。其中2</w:t>
      </w:r>
      <w:r>
        <w:rPr>
          <w:rStyle w:val="27"/>
          <w:rFonts w:ascii="仿宋_GB2312" w:hAnsi="仿宋_GB2312" w:eastAsia="仿宋_GB2312" w:cs="仿宋_GB2312"/>
          <w:bCs w:val="0"/>
          <w:color w:val="auto"/>
        </w:rPr>
        <w:t>57954.00</w:t>
      </w:r>
      <w:r>
        <w:rPr>
          <w:rStyle w:val="27"/>
          <w:rFonts w:hint="eastAsia" w:ascii="仿宋_GB2312" w:hAnsi="仿宋_GB2312" w:eastAsia="仿宋_GB2312" w:cs="仿宋_GB2312"/>
          <w:bCs w:val="0"/>
          <w:color w:val="auto"/>
        </w:rPr>
        <w:t>万元用于</w:t>
      </w:r>
      <w:r>
        <w:rPr>
          <w:rStyle w:val="27"/>
          <w:rFonts w:ascii="仿宋_GB2312" w:hAnsi="仿宋_GB2312" w:eastAsia="仿宋_GB2312" w:cs="仿宋_GB2312"/>
          <w:bCs w:val="0"/>
          <w:color w:val="auto"/>
        </w:rPr>
        <w:t>16</w:t>
      </w:r>
      <w:r>
        <w:rPr>
          <w:rStyle w:val="27"/>
          <w:rFonts w:hint="eastAsia" w:ascii="仿宋_GB2312" w:hAnsi="仿宋_GB2312" w:eastAsia="仿宋_GB2312" w:cs="仿宋_GB2312"/>
          <w:bCs w:val="0"/>
          <w:color w:val="auto"/>
        </w:rPr>
        <w:t>个地市（含省直管县）和1</w:t>
      </w:r>
      <w:r>
        <w:rPr>
          <w:rStyle w:val="27"/>
          <w:rFonts w:ascii="仿宋_GB2312" w:hAnsi="仿宋_GB2312" w:eastAsia="仿宋_GB2312" w:cs="仿宋_GB2312"/>
          <w:bCs w:val="0"/>
          <w:color w:val="auto"/>
        </w:rPr>
        <w:t>6</w:t>
      </w:r>
      <w:r>
        <w:rPr>
          <w:rStyle w:val="27"/>
          <w:rFonts w:hint="eastAsia" w:ascii="仿宋_GB2312" w:hAnsi="仿宋_GB2312" w:eastAsia="仿宋_GB2312" w:cs="仿宋_GB2312"/>
          <w:bCs w:val="0"/>
          <w:color w:val="auto"/>
        </w:rPr>
        <w:t>个省直单位的省级以上公益林损失性补偿资金。项目资金完成了我省</w:t>
      </w:r>
      <w:r>
        <w:rPr>
          <w:rStyle w:val="27"/>
          <w:rFonts w:ascii="仿宋_GB2312" w:hAnsi="仿宋_GB2312" w:eastAsia="仿宋_GB2312" w:cs="仿宋_GB2312"/>
          <w:bCs w:val="0"/>
          <w:color w:val="auto"/>
        </w:rPr>
        <w:t>6747.94</w:t>
      </w:r>
      <w:r>
        <w:rPr>
          <w:rStyle w:val="27"/>
          <w:rFonts w:hint="eastAsia" w:ascii="仿宋_GB2312" w:hAnsi="仿宋_GB2312" w:eastAsia="仿宋_GB2312" w:cs="仿宋_GB2312"/>
          <w:bCs w:val="0"/>
          <w:color w:val="auto"/>
        </w:rPr>
        <w:t>万亩公益林的补偿工作，</w:t>
      </w:r>
      <w:r>
        <w:rPr>
          <w:rFonts w:hint="eastAsia" w:ascii="仿宋_GB2312" w:hAnsi="仿宋_GB2312" w:eastAsia="仿宋_GB2312" w:cs="仿宋_GB2312"/>
          <w:bCs/>
          <w:color w:val="auto"/>
          <w:sz w:val="32"/>
          <w:szCs w:val="32"/>
        </w:rPr>
        <w:t>补偿标准由2</w:t>
      </w:r>
      <w:r>
        <w:rPr>
          <w:rFonts w:ascii="仿宋_GB2312" w:hAnsi="仿宋_GB2312" w:eastAsia="仿宋_GB2312" w:cs="仿宋_GB2312"/>
          <w:bCs/>
          <w:color w:val="auto"/>
          <w:sz w:val="32"/>
          <w:szCs w:val="32"/>
        </w:rPr>
        <w:t>021</w:t>
      </w:r>
      <w:r>
        <w:rPr>
          <w:rFonts w:hint="eastAsia" w:ascii="仿宋_GB2312" w:hAnsi="仿宋_GB2312" w:eastAsia="仿宋_GB2312" w:cs="仿宋_GB2312"/>
          <w:bCs/>
          <w:color w:val="auto"/>
          <w:sz w:val="32"/>
          <w:szCs w:val="32"/>
        </w:rPr>
        <w:t>年的平均42元/亩提高到44元/亩。根据一般区域和特殊区域面积计算，一般区域补偿标准为37元/亩，特殊区域补偿标准为49.4元/亩。补偿标准连续1</w:t>
      </w:r>
      <w:r>
        <w:rPr>
          <w:rFonts w:ascii="仿宋_GB2312" w:hAnsi="仿宋_GB2312" w:eastAsia="仿宋_GB2312" w:cs="仿宋_GB2312"/>
          <w:bCs/>
          <w:color w:val="auto"/>
          <w:sz w:val="32"/>
          <w:szCs w:val="32"/>
        </w:rPr>
        <w:t>5</w:t>
      </w:r>
      <w:r>
        <w:rPr>
          <w:rFonts w:hint="eastAsia" w:ascii="仿宋_GB2312" w:hAnsi="仿宋_GB2312" w:eastAsia="仿宋_GB2312" w:cs="仿宋_GB2312"/>
          <w:bCs/>
          <w:color w:val="auto"/>
          <w:sz w:val="32"/>
          <w:szCs w:val="32"/>
        </w:rPr>
        <w:t>年持续增长。</w:t>
      </w:r>
    </w:p>
    <w:p>
      <w:pPr>
        <w:widowControl w:val="0"/>
        <w:kinsoku/>
        <w:autoSpaceDE/>
        <w:autoSpaceDN/>
        <w:adjustRightInd/>
        <w:snapToGrid/>
        <w:spacing w:line="360" w:lineRule="auto"/>
        <w:ind w:firstLine="640" w:firstLineChars="200"/>
        <w:jc w:val="both"/>
        <w:textAlignment w:val="auto"/>
        <w:rPr>
          <w:rFonts w:ascii="仿宋_GB2312" w:hAnsi="仿宋_GB2312" w:eastAsia="仿宋_GB2312" w:cs="仿宋_GB2312"/>
          <w:bCs/>
          <w:color w:val="auto"/>
          <w:sz w:val="32"/>
          <w:szCs w:val="32"/>
        </w:rPr>
      </w:pPr>
      <w:r>
        <w:rPr>
          <w:rStyle w:val="27"/>
          <w:rFonts w:hint="eastAsia" w:ascii="仿宋_GB2312" w:hAnsi="仿宋_GB2312" w:eastAsia="仿宋_GB2312" w:cs="仿宋_GB2312"/>
          <w:bCs w:val="0"/>
          <w:color w:val="auto"/>
        </w:rPr>
        <w:t>其余7</w:t>
      </w:r>
      <w:r>
        <w:rPr>
          <w:rStyle w:val="27"/>
          <w:rFonts w:ascii="仿宋_GB2312" w:hAnsi="仿宋_GB2312" w:eastAsia="仿宋_GB2312" w:cs="仿宋_GB2312"/>
          <w:bCs w:val="0"/>
          <w:color w:val="auto"/>
        </w:rPr>
        <w:t>557</w:t>
      </w:r>
      <w:r>
        <w:rPr>
          <w:rStyle w:val="27"/>
          <w:rFonts w:hint="eastAsia" w:ascii="仿宋_GB2312" w:hAnsi="仿宋_GB2312" w:eastAsia="仿宋_GB2312" w:cs="仿宋_GB2312"/>
          <w:bCs w:val="0"/>
          <w:color w:val="auto"/>
        </w:rPr>
        <w:t>万用于</w:t>
      </w:r>
      <w:r>
        <w:rPr>
          <w:rFonts w:hint="eastAsia" w:ascii="仿宋_GB2312" w:hAnsi="仿宋_GB2312" w:eastAsia="仿宋_GB2312" w:cs="仿宋_GB2312"/>
          <w:bCs/>
          <w:color w:val="auto"/>
          <w:sz w:val="32"/>
          <w:szCs w:val="32"/>
        </w:rPr>
        <w:t>公益林管护管理和示范建设。完成公益林示范区建设1</w:t>
      </w:r>
      <w:r>
        <w:rPr>
          <w:rFonts w:ascii="仿宋_GB2312" w:hAnsi="仿宋_GB2312" w:eastAsia="仿宋_GB2312" w:cs="仿宋_GB2312"/>
          <w:bCs/>
          <w:color w:val="auto"/>
          <w:sz w:val="32"/>
          <w:szCs w:val="32"/>
        </w:rPr>
        <w:t>5</w:t>
      </w:r>
      <w:r>
        <w:rPr>
          <w:rFonts w:hint="eastAsia" w:ascii="仿宋_GB2312" w:hAnsi="仿宋_GB2312" w:eastAsia="仿宋_GB2312" w:cs="仿宋_GB2312"/>
          <w:bCs/>
          <w:color w:val="auto"/>
          <w:sz w:val="32"/>
          <w:szCs w:val="32"/>
        </w:rPr>
        <w:t>个，示范效应明显。区域森林火灾受害率控制在</w:t>
      </w:r>
      <w:r>
        <w:rPr>
          <w:rFonts w:ascii="仿宋_GB2312" w:hAnsi="仿宋_GB2312" w:eastAsia="仿宋_GB2312" w:cs="仿宋_GB2312"/>
          <w:bCs/>
          <w:color w:val="auto"/>
          <w:sz w:val="32"/>
          <w:szCs w:val="32"/>
        </w:rPr>
        <w:t>0.025‰</w:t>
      </w:r>
      <w:r>
        <w:rPr>
          <w:rFonts w:hint="eastAsia" w:ascii="仿宋_GB2312" w:hAnsi="仿宋_GB2312" w:eastAsia="仿宋_GB2312" w:cs="仿宋_GB2312"/>
          <w:bCs/>
          <w:color w:val="auto"/>
          <w:sz w:val="32"/>
          <w:szCs w:val="32"/>
        </w:rPr>
        <w:t>，区域林业有害生物成灾率</w:t>
      </w:r>
      <w:r>
        <w:rPr>
          <w:rFonts w:ascii="仿宋_GB2312" w:hAnsi="仿宋_GB2312" w:eastAsia="仿宋_GB2312" w:cs="仿宋_GB2312"/>
          <w:bCs/>
          <w:color w:val="auto"/>
          <w:sz w:val="32"/>
          <w:szCs w:val="32"/>
        </w:rPr>
        <w:t>25.7‰</w:t>
      </w:r>
      <w:r>
        <w:rPr>
          <w:rFonts w:hint="eastAsia" w:ascii="仿宋_GB2312" w:hAnsi="仿宋_GB2312" w:eastAsia="仿宋_GB2312" w:cs="仿宋_GB2312"/>
          <w:bCs/>
          <w:color w:val="auto"/>
          <w:sz w:val="32"/>
          <w:szCs w:val="32"/>
        </w:rPr>
        <w:t>，完成了包括广东省乳阳林场在内6个省直单位的公益林管护救灾复产项目，全面提升了防灾减灾和应急处理能力，带动属地群众就业，促进了当地经济发展。</w:t>
      </w:r>
    </w:p>
    <w:p>
      <w:pPr>
        <w:pStyle w:val="4"/>
        <w:keepNext w:val="0"/>
        <w:keepLines w:val="0"/>
        <w:widowControl w:val="0"/>
        <w:adjustRightInd/>
        <w:snapToGrid/>
        <w:spacing w:line="360" w:lineRule="auto"/>
        <w:ind w:firstLine="640"/>
        <w:rPr>
          <w:rFonts w:ascii="仿宋_GB2312" w:eastAsia="仿宋_GB2312"/>
          <w:b/>
          <w:bCs w:val="0"/>
        </w:rPr>
      </w:pPr>
      <w:r>
        <w:rPr>
          <w:rFonts w:hint="eastAsia" w:ascii="仿宋_GB2312" w:eastAsia="仿宋_GB2312"/>
          <w:b/>
          <w:bCs w:val="0"/>
        </w:rPr>
        <w:t>3.专项资金分用途使用绩效</w:t>
      </w:r>
    </w:p>
    <w:p>
      <w:pPr>
        <w:adjustRightInd/>
        <w:snapToGrid/>
        <w:spacing w:line="360" w:lineRule="auto"/>
        <w:ind w:firstLine="640" w:firstLineChars="200"/>
        <w:jc w:val="both"/>
        <w:rPr>
          <w:rFonts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（1）生态补偿标准不断提高</w:t>
      </w:r>
    </w:p>
    <w:p>
      <w:pPr>
        <w:widowControl w:val="0"/>
        <w:kinsoku/>
        <w:autoSpaceDE/>
        <w:autoSpaceDN/>
        <w:adjustRightInd/>
        <w:snapToGrid/>
        <w:spacing w:line="360" w:lineRule="auto"/>
        <w:ind w:firstLine="640" w:firstLineChars="200"/>
        <w:jc w:val="both"/>
        <w:textAlignment w:val="auto"/>
        <w:rPr>
          <w:rFonts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rPr>
        <w:t>我省一直致力于构建随公益林综合价值、GDP和财政收入增长而增长的森林生态效益补偿机制。省政府先后数次做出逐年提高公益林补偿标准的决定，补偿标准提幅逐步上升，2008-2017年补偿标准每亩每年提高2元，2017年达到了平均每亩28元；2018年起，实施新一轮公益林效益补偿提标政策，每亩每年提高4元；2020年平均补偿标准达到每亩40元；2021年平均补偿标准达到每亩4</w:t>
      </w:r>
      <w:r>
        <w:rPr>
          <w:rFonts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rPr>
        <w:t>元；2022年平均补偿标准达到每亩44元，较周边省份高。持续提供公益林补偿标准，以</w:t>
      </w:r>
      <w:r>
        <w:rPr>
          <w:rFonts w:hint="eastAsia" w:ascii="仿宋_GB2312" w:hAnsi="仿宋_GB2312" w:eastAsia="仿宋_GB2312" w:cs="仿宋_GB2312"/>
          <w:sz w:val="32"/>
          <w:szCs w:val="32"/>
        </w:rPr>
        <w:t>小步快跑的趋势回应林农的期盼。2022年</w:t>
      </w:r>
      <w:r>
        <w:rPr>
          <w:rFonts w:hint="eastAsia" w:ascii="仿宋_GB2312" w:hAnsi="仿宋_GB2312" w:eastAsia="仿宋_GB2312" w:cs="仿宋_GB2312"/>
          <w:color w:val="auto"/>
          <w:sz w:val="32"/>
          <w:szCs w:val="32"/>
        </w:rPr>
        <w:t>落实省级财政公益林效益补偿资金2</w:t>
      </w:r>
      <w:r>
        <w:rPr>
          <w:rFonts w:ascii="仿宋_GB2312" w:hAnsi="仿宋_GB2312" w:eastAsia="仿宋_GB2312" w:cs="仿宋_GB2312"/>
          <w:color w:val="auto"/>
          <w:sz w:val="32"/>
          <w:szCs w:val="32"/>
        </w:rPr>
        <w:t>6.55</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bCs/>
          <w:sz w:val="32"/>
          <w:szCs w:val="32"/>
          <w:lang w:bidi="ar"/>
        </w:rPr>
        <w:t>惠及全省约2650万林农。</w:t>
      </w:r>
    </w:p>
    <w:p>
      <w:pPr>
        <w:widowControl w:val="0"/>
        <w:kinsoku/>
        <w:autoSpaceDE/>
        <w:autoSpaceDN/>
        <w:adjustRightInd/>
        <w:snapToGrid/>
        <w:spacing w:line="360" w:lineRule="auto"/>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同时，继续推动各地实施公益林分区域差异化补偿，将特殊区域的补偿标准提高到49.4元/亩，一般区域提高到37元/亩。实现连续15年不间断提升补偿标准，广大山区群众获得了实实在在的利益，绿色生态补偿惠民效益不断凸显。为推动广东经济社会高质量发展、提升生态质量、改善民生福祉和维护社会和谐稳定作出了积极贡献。</w:t>
      </w:r>
    </w:p>
    <w:p>
      <w:pPr>
        <w:widowControl w:val="0"/>
        <w:kinsoku/>
        <w:autoSpaceDE/>
        <w:autoSpaceDN/>
        <w:adjustRightInd/>
        <w:snapToGrid/>
        <w:spacing w:line="360" w:lineRule="auto"/>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加强公益林管护，筑牢生态安全屏障</w:t>
      </w:r>
    </w:p>
    <w:p>
      <w:pPr>
        <w:widowControl w:val="0"/>
        <w:kinsoku/>
        <w:autoSpaceDE/>
        <w:autoSpaceDN/>
        <w:adjustRightInd/>
        <w:snapToGrid/>
        <w:spacing w:line="360" w:lineRule="auto"/>
        <w:ind w:firstLine="640" w:firstLineChars="200"/>
        <w:jc w:val="both"/>
        <w:textAlignment w:val="auto"/>
        <w:rPr>
          <w:rFonts w:ascii="仿宋_GB2312" w:hAnsi="仿宋_GB2312" w:eastAsia="仿宋_GB2312" w:cs="仿宋_GB2312"/>
          <w:bCs/>
          <w:snapToGrid/>
          <w:color w:val="auto"/>
          <w:kern w:val="2"/>
          <w:sz w:val="32"/>
          <w:szCs w:val="32"/>
          <w:lang w:bidi="ar"/>
        </w:rPr>
      </w:pPr>
      <w:r>
        <w:rPr>
          <w:rFonts w:hint="eastAsia" w:ascii="仿宋_GB2312" w:hAnsi="仿宋_GB2312" w:eastAsia="仿宋_GB2312" w:cs="仿宋_GB2312"/>
          <w:bCs/>
          <w:color w:val="auto"/>
          <w:kern w:val="2"/>
          <w:sz w:val="32"/>
          <w:szCs w:val="32"/>
          <w:lang w:bidi="ar"/>
        </w:rPr>
        <w:t>有效管护全省省级以上公益林6747.94万亩，森林质量逐步提升，公益林中森林质量较好的一二类林率提高到86.7%，</w:t>
      </w:r>
      <w:r>
        <w:rPr>
          <w:rStyle w:val="27"/>
          <w:rFonts w:hint="eastAsia" w:ascii="仿宋_GB2312" w:hAnsi="仿宋_GB2312" w:eastAsia="仿宋_GB2312" w:cs="仿宋_GB2312"/>
          <w:bCs w:val="0"/>
          <w:color w:val="auto"/>
        </w:rPr>
        <w:t>比商品林高12个百分点</w:t>
      </w:r>
      <w:r>
        <w:rPr>
          <w:rFonts w:hint="eastAsia" w:ascii="仿宋_GB2312" w:hAnsi="仿宋_GB2312" w:eastAsia="仿宋_GB2312" w:cs="仿宋_GB2312"/>
          <w:bCs/>
          <w:color w:val="auto"/>
          <w:kern w:val="2"/>
          <w:sz w:val="32"/>
          <w:szCs w:val="32"/>
          <w:lang w:bidi="ar"/>
        </w:rPr>
        <w:t>，全省森林中，面积占比42%的公益林，贡献了全省森林蓄积量的54%，生态供给、调节、服务、支持功能进一步增强。</w:t>
      </w:r>
      <w:r>
        <w:rPr>
          <w:rFonts w:hint="eastAsia" w:ascii="仿宋_GB2312" w:hAnsi="仿宋_GB2312" w:eastAsia="仿宋_GB2312" w:cs="仿宋_GB2312"/>
          <w:color w:val="auto"/>
          <w:sz w:val="32"/>
          <w:szCs w:val="32"/>
        </w:rPr>
        <w:t>城乡宜居环境进一步优化，人民群众获得幸福感得到提升。由于全省公益林得到有效保护，全省森林覆盖率和森林蓄积量均有所增加。总体呈现稳定增长态势，位居全国前列。</w:t>
      </w:r>
      <w:r>
        <w:rPr>
          <w:rFonts w:hint="eastAsia" w:ascii="仿宋_GB2312" w:hAnsi="仿宋_GB2312" w:eastAsia="仿宋_GB2312" w:cs="仿宋_GB2312"/>
          <w:bCs/>
          <w:sz w:val="32"/>
          <w:szCs w:val="32"/>
          <w:lang w:bidi="ar"/>
        </w:rPr>
        <w:t>有序推进公益林和天然林范围数据与</w:t>
      </w:r>
      <w:r>
        <w:rPr>
          <w:rFonts w:hint="eastAsia" w:ascii="仿宋_GB2312" w:hAnsi="仿宋_GB2312" w:eastAsia="仿宋_GB2312" w:cs="仿宋_GB2312"/>
          <w:sz w:val="32"/>
          <w:szCs w:val="32"/>
          <w:lang w:bidi="ar"/>
        </w:rPr>
        <w:t>国土“三调”数据对接融合和并轨管理工作，</w:t>
      </w:r>
      <w:r>
        <w:rPr>
          <w:rFonts w:hint="eastAsia" w:ascii="仿宋_GB2312" w:hAnsi="仿宋_GB2312" w:eastAsia="仿宋_GB2312" w:cs="仿宋_GB2312"/>
          <w:bCs/>
          <w:sz w:val="32"/>
          <w:szCs w:val="32"/>
          <w:lang w:bidi="ar"/>
        </w:rPr>
        <w:t>解决与耕地、基本农田等交叉重叠问题，确保“一张图”管理。</w:t>
      </w:r>
    </w:p>
    <w:p>
      <w:pPr>
        <w:widowControl w:val="0"/>
        <w:kinsoku/>
        <w:autoSpaceDE/>
        <w:autoSpaceDN/>
        <w:adjustRightInd/>
        <w:snapToGrid/>
        <w:spacing w:line="360" w:lineRule="auto"/>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公益林资源管理管护工作到位，管理能力不断提升</w:t>
      </w:r>
    </w:p>
    <w:p>
      <w:pPr>
        <w:kinsoku/>
        <w:autoSpaceDE/>
        <w:autoSpaceDN/>
        <w:adjustRightInd/>
        <w:snapToGrid/>
        <w:spacing w:line="360" w:lineRule="auto"/>
        <w:ind w:firstLine="643" w:firstLineChars="200"/>
        <w:jc w:val="both"/>
        <w:textAlignment w:val="auto"/>
        <w:rPr>
          <w:rFonts w:ascii="仿宋_GB2312" w:hAnsi="仿宋_GB2312" w:eastAsia="仿宋_GB2312" w:cs="仿宋_GB2312"/>
          <w:bCs/>
          <w:color w:val="auto"/>
          <w:kern w:val="2"/>
          <w:sz w:val="32"/>
          <w:szCs w:val="32"/>
          <w:lang w:bidi="ar"/>
        </w:rPr>
      </w:pP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大力推进公益林完善落界工作，基本理清了公益林与永久基本农田重叠底数，初步实现省级以上公益林档案数据与全省森林资源“一张图”管理。优化全省省级以上公益林布局，部分历史问题和现实矛盾得到妥善解决，绿色发展空间加快释放。</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各地进一步强化公益林管护，组建了县-镇-村三级公益林管护队伍，落实专职管护人员约3.29万人。据统计，2022年，全省公益林森林火灾受害率为0.025‰，林业有害生物成灾率为25.65‰（注：此项指标“十四五”期间国家林草局发布新成灾率控制指标为26.32‰），未发展采石、打树枝等现象，均完成了相应指标任务。</w:t>
      </w: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bCs/>
          <w:color w:val="auto"/>
          <w:sz w:val="32"/>
          <w:szCs w:val="32"/>
        </w:rPr>
        <w:t>加强制度建设，扎实推进公益林和天然林保护管理法制化、规范化。积极参与《广东省森林保护管理条例》修订工作，做好公益林和天然林保护管理的制度衔接，对条例中有关内容进行修改完善。启动《广东省省级公益林划定和管理办法》、《广东省省级公益林调整管理规范》制修订，对接《广东省森林保护管理条例》的内容，进一步细化和规范公益林保护管理规定。配合国家林草局做好《国家级公益林划定和管理办法》、《全国天然林保护修复中长期规划》修订工作。</w:t>
      </w:r>
      <w:r>
        <w:rPr>
          <w:rFonts w:hint="eastAsia" w:ascii="仿宋_GB2312" w:hAnsi="仿宋_GB2312" w:eastAsia="仿宋_GB2312" w:cs="仿宋_GB2312"/>
          <w:b/>
          <w:bCs/>
          <w:color w:val="auto"/>
          <w:sz w:val="32"/>
          <w:szCs w:val="32"/>
        </w:rPr>
        <w:t>四是</w:t>
      </w:r>
      <w:r>
        <w:rPr>
          <w:rFonts w:hint="eastAsia" w:ascii="仿宋_GB2312" w:hAnsi="仿宋_GB2312" w:eastAsia="仿宋_GB2312" w:cs="仿宋_GB2312"/>
          <w:bCs/>
          <w:color w:val="auto"/>
          <w:sz w:val="32"/>
          <w:szCs w:val="32"/>
        </w:rPr>
        <w:t>加快构建精细化管理平台，扎实推动惠州市、韶关市、连州市等地建设公益林精细化管理系统，将公益林范围和资金管理、森林监管、在线巡护等管理管护信息精准落实到山头地块。</w:t>
      </w:r>
      <w:r>
        <w:rPr>
          <w:rFonts w:hint="eastAsia" w:ascii="仿宋_GB2312" w:hAnsi="仿宋_GB2312" w:eastAsia="仿宋_GB2312" w:cs="仿宋_GB2312"/>
          <w:b/>
          <w:bCs/>
          <w:color w:val="auto"/>
          <w:sz w:val="32"/>
          <w:szCs w:val="32"/>
        </w:rPr>
        <w:t>五是</w:t>
      </w:r>
      <w:r>
        <w:rPr>
          <w:rFonts w:hint="eastAsia" w:ascii="仿宋_GB2312" w:hAnsi="仿宋_GB2312" w:eastAsia="仿宋_GB2312" w:cs="仿宋_GB2312"/>
          <w:bCs/>
          <w:color w:val="auto"/>
          <w:sz w:val="32"/>
          <w:szCs w:val="32"/>
        </w:rPr>
        <w:t>强化资金监管，</w:t>
      </w:r>
      <w:r>
        <w:rPr>
          <w:rFonts w:hint="eastAsia" w:ascii="仿宋_GB2312" w:hAnsi="仿宋_GB2312" w:eastAsia="仿宋_GB2312" w:cs="仿宋_GB2312"/>
          <w:bCs/>
          <w:sz w:val="32"/>
          <w:szCs w:val="32"/>
          <w:shd w:val="clear" w:color="auto" w:fill="FFFFFF"/>
          <w:lang w:bidi="ar"/>
        </w:rPr>
        <w:t>“公益林效益补偿资金监管”列入省林业局双百攻坚行动，并把资金支出情况作为林长制考核的扣分项，通过层层压实责任，开展督导督办、通报约谈、调度提醒和主要领导致信等多种有力举措，全面打破了部分地区往年在春节前后发放上一年度损失性补偿资金的“惯性思维”，公益林效益补偿资金支出率较往年同期有较大提升</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
          <w:bCs/>
          <w:color w:val="auto"/>
          <w:sz w:val="32"/>
          <w:szCs w:val="32"/>
        </w:rPr>
        <w:t>六是</w:t>
      </w:r>
      <w:r>
        <w:rPr>
          <w:rFonts w:hint="eastAsia" w:ascii="仿宋_GB2312" w:hAnsi="仿宋_GB2312" w:eastAsia="仿宋_GB2312" w:cs="仿宋_GB2312"/>
          <w:color w:val="auto"/>
          <w:sz w:val="32"/>
          <w:szCs w:val="32"/>
        </w:rPr>
        <w:t>大力开展建设成效宣传，持续组织开展相关宣传活动，如</w:t>
      </w:r>
      <w:r>
        <w:rPr>
          <w:rFonts w:hint="eastAsia" w:ascii="仿宋_GB2312" w:hAnsi="Times New Roman" w:eastAsia="仿宋_GB2312" w:cs="仿宋_GB2312"/>
          <w:bCs/>
          <w:color w:val="auto"/>
          <w:kern w:val="2"/>
          <w:sz w:val="32"/>
          <w:szCs w:val="32"/>
          <w:lang w:bidi="ar"/>
        </w:rPr>
        <w:t>组织开展广</w:t>
      </w:r>
      <w:r>
        <w:rPr>
          <w:rFonts w:hint="eastAsia" w:ascii="仿宋_GB2312" w:hAnsi="仿宋_GB2312" w:eastAsia="仿宋_GB2312" w:cs="仿宋_GB2312"/>
          <w:bCs/>
          <w:color w:val="auto"/>
          <w:kern w:val="2"/>
          <w:sz w:val="32"/>
          <w:szCs w:val="32"/>
          <w:lang w:bidi="ar"/>
        </w:rPr>
        <w:t>东省公益林LOGO设计大赛、融媒体产品的发布、新闻采访活动等</w:t>
      </w:r>
      <w:r>
        <w:rPr>
          <w:rFonts w:hint="eastAsia" w:ascii="仿宋_GB2312" w:hAnsi="仿宋_GB2312" w:eastAsia="仿宋_GB2312" w:cs="仿宋_GB2312"/>
          <w:color w:val="auto"/>
          <w:sz w:val="32"/>
          <w:szCs w:val="32"/>
        </w:rPr>
        <w:t>，取得了良好的宣传效果，提升了广大人民群众对我省林业工作的知晓率。</w:t>
      </w:r>
    </w:p>
    <w:p>
      <w:pPr>
        <w:pStyle w:val="4"/>
        <w:keepNext w:val="0"/>
        <w:keepLines w:val="0"/>
        <w:widowControl w:val="0"/>
        <w:adjustRightInd/>
        <w:snapToGrid/>
        <w:spacing w:line="360" w:lineRule="auto"/>
        <w:ind w:firstLine="640"/>
        <w:rPr>
          <w:rFonts w:eastAsia="楷体_GB2312" w:cs="仿宋"/>
          <w:b/>
          <w:bCs w:val="0"/>
        </w:rPr>
      </w:pPr>
      <w:r>
        <w:rPr>
          <w:rFonts w:hint="eastAsia" w:eastAsia="楷体_GB2312" w:cs="仿宋"/>
          <w:b/>
          <w:bCs w:val="0"/>
        </w:rPr>
        <w:t>（三）专项资金使用绩效存在的问题</w:t>
      </w:r>
    </w:p>
    <w:p>
      <w:pPr>
        <w:pStyle w:val="5"/>
        <w:widowControl w:val="0"/>
        <w:adjustRightInd/>
        <w:snapToGrid/>
        <w:spacing w:line="360" w:lineRule="auto"/>
        <w:ind w:firstLine="640"/>
        <w:rPr>
          <w:rFonts w:ascii="仿宋_GB2312" w:hAnsi="仿宋_GB2312" w:eastAsia="仿宋_GB2312" w:cs="仿宋_GB2312"/>
          <w:b w:val="0"/>
          <w:color w:val="auto"/>
        </w:rPr>
      </w:pPr>
      <w:r>
        <w:rPr>
          <w:rFonts w:hint="eastAsia" w:ascii="仿宋_GB2312" w:hAnsi="仿宋_GB2312" w:eastAsia="仿宋_GB2312" w:cs="仿宋_GB2312"/>
          <w:b w:val="0"/>
          <w:color w:val="auto"/>
        </w:rPr>
        <w:t>1.公益林补偿标准与林农期盼仍有差距。</w:t>
      </w:r>
    </w:p>
    <w:p>
      <w:pPr>
        <w:widowControl w:val="0"/>
        <w:kinsoku/>
        <w:autoSpaceDE/>
        <w:autoSpaceDN/>
        <w:adjustRightInd/>
        <w:snapToGrid/>
        <w:spacing w:line="36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尽管我省财政不断提高公益林补偿标准，近年采取小步快跑的方式，加快了补偿标准提高的步伐，2022年平均补偿标准达到44元/亩，但是由于广东省公益林效益补偿受惠面非常广，公益林效益补偿人均收益占广东省农村居民人均收入比例较低，</w:t>
      </w:r>
      <w:r>
        <w:rPr>
          <w:rFonts w:hint="eastAsia" w:ascii="Times New Roman" w:hAnsi="Times New Roman" w:eastAsia="仿宋_GB2312" w:cs="Times New Roman"/>
          <w:color w:val="auto"/>
          <w:sz w:val="32"/>
          <w:szCs w:val="32"/>
        </w:rPr>
        <w:t>广大林农仍期盼进一步提高公益林补偿标准</w:t>
      </w:r>
      <w:r>
        <w:rPr>
          <w:rFonts w:hint="eastAsia" w:ascii="仿宋_GB2312" w:hAnsi="仿宋_GB2312" w:eastAsia="仿宋_GB2312" w:cs="仿宋_GB2312"/>
          <w:color w:val="auto"/>
          <w:sz w:val="32"/>
          <w:szCs w:val="32"/>
        </w:rPr>
        <w:t>。差异化补偿政策引导激发林权权利人保护和建设修复公益林和天然林积极性的作用亟待进一步发挥。</w:t>
      </w:r>
    </w:p>
    <w:p>
      <w:pPr>
        <w:pStyle w:val="5"/>
        <w:keepNext w:val="0"/>
        <w:keepLines w:val="0"/>
        <w:widowControl w:val="0"/>
        <w:adjustRightInd/>
        <w:snapToGrid/>
        <w:spacing w:line="360" w:lineRule="auto"/>
        <w:ind w:firstLine="640"/>
        <w:rPr>
          <w:rFonts w:ascii="仿宋_GB2312" w:hAnsi="仿宋_GB2312" w:eastAsia="仿宋_GB2312" w:cs="仿宋_GB2312"/>
          <w:b w:val="0"/>
          <w:color w:val="auto"/>
        </w:rPr>
      </w:pPr>
      <w:r>
        <w:rPr>
          <w:rFonts w:hint="eastAsia" w:ascii="仿宋_GB2312" w:hAnsi="仿宋_GB2312" w:eastAsia="仿宋_GB2312" w:cs="仿宋_GB2312"/>
          <w:b w:val="0"/>
          <w:color w:val="auto"/>
        </w:rPr>
        <w:t>2.部分公益林效益补偿资金</w:t>
      </w:r>
      <w:bookmarkStart w:id="20" w:name="OLE_LINK5"/>
      <w:r>
        <w:rPr>
          <w:rFonts w:hint="eastAsia" w:ascii="仿宋_GB2312" w:hAnsi="仿宋_GB2312" w:eastAsia="仿宋_GB2312" w:cs="仿宋_GB2312"/>
          <w:b w:val="0"/>
          <w:color w:val="auto"/>
        </w:rPr>
        <w:t>未及时发放</w:t>
      </w:r>
      <w:bookmarkEnd w:id="20"/>
      <w:r>
        <w:rPr>
          <w:rFonts w:hint="eastAsia" w:ascii="仿宋_GB2312" w:hAnsi="仿宋_GB2312" w:eastAsia="仿宋_GB2312" w:cs="仿宋_GB2312"/>
          <w:b w:val="0"/>
          <w:color w:val="auto"/>
        </w:rPr>
        <w:t>。</w:t>
      </w:r>
    </w:p>
    <w:p>
      <w:pPr>
        <w:widowControl w:val="0"/>
        <w:kinsoku/>
        <w:autoSpaceDE/>
        <w:autoSpaceDN/>
        <w:adjustRightInd/>
        <w:snapToGrid/>
        <w:spacing w:line="360" w:lineRule="auto"/>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主要原因有：</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机构改革中机构变动和人员流动大，影响了公益林工作的正常开展。</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山林权属纠纷导致部分补偿资金长时间滞留，难以发放。</w:t>
      </w: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color w:val="auto"/>
          <w:sz w:val="32"/>
          <w:szCs w:val="32"/>
        </w:rPr>
        <w:t>在差异化补偿政策执行中，存在特殊区域具体地块、面积难以确认，同一村组甚至同一地块补偿标准相差较多等情况，群众意见较大，具体补偿对象难以明确，导致补偿资金未能发放。</w:t>
      </w:r>
      <w:r>
        <w:rPr>
          <w:rFonts w:hint="eastAsia" w:ascii="仿宋_GB2312" w:hAnsi="仿宋_GB2312" w:eastAsia="仿宋_GB2312" w:cs="仿宋_GB2312"/>
          <w:b/>
          <w:bCs/>
          <w:color w:val="auto"/>
          <w:sz w:val="32"/>
          <w:szCs w:val="32"/>
        </w:rPr>
        <w:t>四是</w:t>
      </w:r>
      <w:r>
        <w:rPr>
          <w:rFonts w:hint="eastAsia" w:ascii="仿宋_GB2312" w:hAnsi="仿宋_GB2312" w:eastAsia="仿宋_GB2312" w:cs="仿宋_GB2312"/>
          <w:color w:val="auto"/>
          <w:sz w:val="32"/>
          <w:szCs w:val="32"/>
        </w:rPr>
        <w:t>部分农户提供的账号错误或长期外出打工无法提供身份证等。</w:t>
      </w:r>
      <w:r>
        <w:rPr>
          <w:rFonts w:hint="eastAsia" w:ascii="仿宋_GB2312" w:hAnsi="仿宋_GB2312" w:eastAsia="仿宋_GB2312" w:cs="仿宋_GB2312"/>
          <w:b/>
          <w:color w:val="auto"/>
          <w:sz w:val="32"/>
          <w:szCs w:val="32"/>
        </w:rPr>
        <w:t>五是</w:t>
      </w:r>
      <w:r>
        <w:rPr>
          <w:rFonts w:hint="eastAsia" w:ascii="仿宋_GB2312" w:hAnsi="仿宋_GB2312" w:eastAsia="仿宋_GB2312" w:cs="仿宋_GB2312"/>
          <w:color w:val="auto"/>
          <w:sz w:val="32"/>
          <w:szCs w:val="32"/>
        </w:rPr>
        <w:t>部分地市区县财政紧张，导致资金无法按时到位。</w:t>
      </w:r>
    </w:p>
    <w:p>
      <w:pPr>
        <w:pStyle w:val="3"/>
        <w:keepNext w:val="0"/>
        <w:keepLines w:val="0"/>
        <w:widowControl w:val="0"/>
        <w:adjustRightInd/>
        <w:snapToGrid/>
        <w:spacing w:line="360" w:lineRule="auto"/>
        <w:ind w:firstLine="640" w:firstLineChars="200"/>
        <w:rPr>
          <w:rFonts w:ascii="Times New Roman" w:hAnsi="Times New Roman" w:cs="Times New Roman"/>
        </w:rPr>
      </w:pPr>
      <w:r>
        <w:rPr>
          <w:rFonts w:hint="eastAsia" w:ascii="Times New Roman" w:hAnsi="Times New Roman" w:cs="Times New Roman"/>
        </w:rPr>
        <w:t>三</w:t>
      </w:r>
      <w:r>
        <w:rPr>
          <w:rFonts w:hint="eastAsia" w:ascii="Times New Roman" w:hAnsi="Times New Roman"/>
        </w:rPr>
        <w:t>、</w:t>
      </w:r>
      <w:r>
        <w:rPr>
          <w:rFonts w:hint="eastAsia"/>
        </w:rPr>
        <w:t>改进意见</w:t>
      </w:r>
    </w:p>
    <w:p>
      <w:pPr>
        <w:widowControl w:val="0"/>
        <w:kinsoku/>
        <w:autoSpaceDE/>
        <w:autoSpaceDN/>
        <w:adjustRightInd/>
        <w:snapToGrid/>
        <w:spacing w:line="360" w:lineRule="auto"/>
        <w:ind w:firstLine="643"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color w:val="auto"/>
          <w:kern w:val="2"/>
          <w:sz w:val="32"/>
          <w:szCs w:val="32"/>
          <w:lang w:bidi="ar"/>
        </w:rPr>
        <w:t>一是</w:t>
      </w:r>
      <w:r>
        <w:rPr>
          <w:rFonts w:hint="eastAsia" w:ascii="仿宋_GB2312" w:hAnsi="仿宋_GB2312" w:eastAsia="仿宋_GB2312" w:cs="仿宋_GB2312"/>
          <w:color w:val="auto"/>
          <w:sz w:val="32"/>
          <w:szCs w:val="32"/>
        </w:rPr>
        <w:t>接续提高公益林补偿标准，切实提升广大山区群众的利益，稳步提升绿色生态补偿惠民效益</w:t>
      </w:r>
      <w:r>
        <w:rPr>
          <w:rFonts w:hint="eastAsia" w:ascii="仿宋_GB2312" w:hAnsi="仿宋_GB2312" w:eastAsia="仿宋_GB2312" w:cs="仿宋_GB2312"/>
          <w:color w:val="auto"/>
          <w:kern w:val="2"/>
          <w:sz w:val="32"/>
          <w:szCs w:val="32"/>
          <w:lang w:bidi="ar"/>
        </w:rPr>
        <w:t>。</w:t>
      </w:r>
      <w:r>
        <w:rPr>
          <w:rFonts w:hint="eastAsia" w:ascii="仿宋_GB2312" w:hAnsi="仿宋_GB2312" w:eastAsia="仿宋_GB2312" w:cs="仿宋_GB2312"/>
          <w:b/>
          <w:color w:val="auto"/>
          <w:kern w:val="2"/>
          <w:sz w:val="32"/>
          <w:szCs w:val="32"/>
          <w:lang w:bidi="ar"/>
        </w:rPr>
        <w:t>二是</w:t>
      </w:r>
      <w:r>
        <w:rPr>
          <w:rFonts w:hint="eastAsia" w:ascii="仿宋_GB2312" w:hAnsi="仿宋_GB2312" w:eastAsia="仿宋_GB2312" w:cs="仿宋_GB2312"/>
          <w:color w:val="auto"/>
          <w:sz w:val="32"/>
          <w:szCs w:val="32"/>
        </w:rPr>
        <w:t>强化资金监管和使用。</w:t>
      </w:r>
      <w:r>
        <w:rPr>
          <w:rFonts w:hint="eastAsia" w:ascii="仿宋_GB2312" w:hAnsi="仿宋_GB2312" w:eastAsia="仿宋_GB2312" w:cs="仿宋_GB2312"/>
          <w:bCs/>
          <w:color w:val="auto"/>
          <w:kern w:val="2"/>
          <w:sz w:val="32"/>
          <w:szCs w:val="32"/>
          <w:lang w:bidi="ar"/>
        </w:rPr>
        <w:t>提早谋划，督促各地提前做好下一年度补偿资金分配方案编制。</w:t>
      </w:r>
      <w:r>
        <w:rPr>
          <w:rFonts w:hint="eastAsia" w:ascii="仿宋_GB2312" w:hAnsi="仿宋_GB2312" w:eastAsia="仿宋_GB2312" w:cs="仿宋_GB2312"/>
          <w:b/>
          <w:color w:val="auto"/>
          <w:sz w:val="32"/>
          <w:szCs w:val="32"/>
        </w:rPr>
        <w:t>三是</w:t>
      </w:r>
      <w:r>
        <w:rPr>
          <w:rFonts w:hint="eastAsia" w:ascii="仿宋_GB2312" w:hAnsi="仿宋_GB2312" w:eastAsia="仿宋_GB2312" w:cs="仿宋_GB2312"/>
          <w:color w:val="auto"/>
          <w:sz w:val="32"/>
          <w:szCs w:val="32"/>
        </w:rPr>
        <w:t>推进精细化发展，有效提高公益林和天然林管理效率。在全省范围进一步推广使用</w:t>
      </w:r>
      <w:r>
        <w:rPr>
          <w:rFonts w:hint="eastAsia" w:ascii="仿宋_GB2312" w:hAnsi="仿宋_GB2312" w:eastAsia="仿宋_GB2312" w:cs="仿宋_GB2312"/>
          <w:color w:val="auto"/>
          <w:kern w:val="2"/>
          <w:sz w:val="32"/>
          <w:szCs w:val="32"/>
          <w:lang w:bidi="ar"/>
        </w:rPr>
        <w:t>公益林专题监测系统，实现省、市、县、镇四级用户的分级管理。将</w:t>
      </w:r>
      <w:r>
        <w:rPr>
          <w:rFonts w:hint="eastAsia" w:ascii="仿宋_GB2312" w:hAnsi="仿宋_GB2312" w:eastAsia="仿宋_GB2312" w:cs="仿宋_GB2312"/>
          <w:color w:val="auto"/>
          <w:sz w:val="32"/>
          <w:szCs w:val="32"/>
        </w:rPr>
        <w:t>全省公益林范围和补偿资金管理、森林监管、在线巡护等管理管护信息真正精准落实到山头地块，实现“线上”办理公益林调整、资金分配方案编制、资金发放进度监督管理。</w:t>
      </w:r>
      <w:r>
        <w:rPr>
          <w:rFonts w:hint="eastAsia" w:ascii="仿宋_GB2312" w:hAnsi="仿宋_GB2312" w:eastAsia="仿宋_GB2312" w:cs="仿宋_GB2312"/>
          <w:b/>
          <w:color w:val="auto"/>
          <w:sz w:val="32"/>
          <w:szCs w:val="32"/>
        </w:rPr>
        <w:t>四是</w:t>
      </w:r>
      <w:r>
        <w:rPr>
          <w:rFonts w:hint="eastAsia" w:ascii="仿宋_GB2312" w:hAnsi="仿宋_GB2312" w:eastAsia="仿宋_GB2312" w:cs="仿宋_GB2312"/>
          <w:color w:val="auto"/>
          <w:kern w:val="2"/>
          <w:sz w:val="32"/>
          <w:szCs w:val="32"/>
          <w:lang w:bidi="ar"/>
        </w:rPr>
        <w:t>建立健全公益林和天然林保护管理制度体系，</w:t>
      </w:r>
      <w:r>
        <w:rPr>
          <w:rFonts w:hint="eastAsia" w:ascii="仿宋_GB2312" w:hAnsi="仿宋_GB2312" w:eastAsia="仿宋_GB2312" w:cs="仿宋_GB2312"/>
          <w:bCs/>
          <w:color w:val="auto"/>
          <w:kern w:val="2"/>
          <w:sz w:val="32"/>
          <w:szCs w:val="32"/>
          <w:lang w:bidi="ar"/>
        </w:rPr>
        <w:t>进一步完善公益林差异化补偿政策</w:t>
      </w:r>
      <w:r>
        <w:rPr>
          <w:rFonts w:hint="eastAsia" w:ascii="仿宋_GB2312" w:hAnsi="仿宋_GB2312" w:eastAsia="仿宋_GB2312" w:cs="仿宋_GB2312"/>
          <w:color w:val="auto"/>
          <w:kern w:val="2"/>
          <w:sz w:val="32"/>
          <w:szCs w:val="32"/>
          <w:lang w:bidi="ar"/>
        </w:rPr>
        <w:t>，</w:t>
      </w:r>
      <w:r>
        <w:rPr>
          <w:rFonts w:hint="eastAsia" w:ascii="仿宋_GB2312" w:hAnsi="仿宋_GB2312" w:eastAsia="仿宋_GB2312" w:cs="仿宋_GB2312"/>
          <w:bCs/>
          <w:color w:val="auto"/>
          <w:kern w:val="2"/>
          <w:sz w:val="32"/>
          <w:szCs w:val="32"/>
          <w:lang w:bidi="ar"/>
        </w:rPr>
        <w:t>健全公益林补偿标准动态调整机制。加强衔接，进一步规范公益林和天然林保护管理，探索建立天然林生态补偿制度，通过制度体系建设，提高公益林管理的规范性与科学性。</w:t>
      </w:r>
      <w:bookmarkStart w:id="21" w:name="_GoBack"/>
      <w:bookmarkEnd w:id="21"/>
    </w:p>
    <w:p>
      <w:pPr>
        <w:keepNext w:val="0"/>
        <w:keepLines w:val="0"/>
        <w:widowControl w:val="0"/>
        <w:suppressLineNumbers w:val="0"/>
        <w:kinsoku w:val="0"/>
        <w:autoSpaceDE w:val="0"/>
        <w:autoSpaceDN/>
        <w:snapToGrid w:val="0"/>
        <w:spacing w:before="313" w:beforeAutospacing="0" w:after="0" w:afterAutospacing="0" w:line="360" w:lineRule="auto"/>
        <w:ind w:left="0" w:right="0" w:firstLine="640" w:firstLineChars="200"/>
        <w:jc w:val="both"/>
      </w:pPr>
      <w:r>
        <w:rPr>
          <w:rFonts w:hint="eastAsia" w:ascii="仿宋_GB2312" w:hAnsi="仿宋_GB2312" w:eastAsia="仿宋_GB2312" w:cs="仿宋_GB2312"/>
          <w:kern w:val="2"/>
          <w:sz w:val="32"/>
          <w:szCs w:val="32"/>
          <w:lang w:val="en-US" w:eastAsia="zh-CN" w:bidi="ar"/>
        </w:rPr>
        <w:t>附件：项目绩效自评指标评分表</w:t>
      </w:r>
    </w:p>
    <w:p>
      <w:pPr>
        <w:kinsoku/>
        <w:autoSpaceDE/>
        <w:autoSpaceDN/>
        <w:adjustRightInd/>
        <w:snapToGrid/>
        <w:spacing w:line="360" w:lineRule="auto"/>
        <w:textAlignment w:val="auto"/>
        <w:rPr>
          <w:rFonts w:ascii="Times New Roman" w:hAnsi="Times New Roman" w:eastAsia="仿宋" w:cs="Times New Roman"/>
          <w:spacing w:val="-15"/>
          <w:w w:val="97"/>
          <w:position w:val="22"/>
          <w:sz w:val="32"/>
          <w:szCs w:val="32"/>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Microsoft YaHei UI">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ZhYzliNWNiYzQ3ZjFkZGY4Y2FhN2VjMDk1NjJiMjEifQ=="/>
  </w:docVars>
  <w:rsids>
    <w:rsidRoot w:val="00A6328D"/>
    <w:rsid w:val="00005153"/>
    <w:rsid w:val="00006AC6"/>
    <w:rsid w:val="000108AD"/>
    <w:rsid w:val="00011B0F"/>
    <w:rsid w:val="0003173E"/>
    <w:rsid w:val="000332BE"/>
    <w:rsid w:val="0004040F"/>
    <w:rsid w:val="0004080C"/>
    <w:rsid w:val="0004407B"/>
    <w:rsid w:val="000505AC"/>
    <w:rsid w:val="00051979"/>
    <w:rsid w:val="00056F30"/>
    <w:rsid w:val="00066DE7"/>
    <w:rsid w:val="00067BA1"/>
    <w:rsid w:val="0007177A"/>
    <w:rsid w:val="0007315E"/>
    <w:rsid w:val="00076575"/>
    <w:rsid w:val="00083383"/>
    <w:rsid w:val="000901D3"/>
    <w:rsid w:val="00097383"/>
    <w:rsid w:val="000A769D"/>
    <w:rsid w:val="000B4093"/>
    <w:rsid w:val="000B668C"/>
    <w:rsid w:val="000C2AD6"/>
    <w:rsid w:val="000C3FDE"/>
    <w:rsid w:val="000C6599"/>
    <w:rsid w:val="000C6D8E"/>
    <w:rsid w:val="000C76BA"/>
    <w:rsid w:val="000D7313"/>
    <w:rsid w:val="000F0002"/>
    <w:rsid w:val="000F2A7A"/>
    <w:rsid w:val="000F55DA"/>
    <w:rsid w:val="00100586"/>
    <w:rsid w:val="00101EE5"/>
    <w:rsid w:val="00111000"/>
    <w:rsid w:val="00111997"/>
    <w:rsid w:val="00117341"/>
    <w:rsid w:val="00120D5D"/>
    <w:rsid w:val="00121784"/>
    <w:rsid w:val="0012178D"/>
    <w:rsid w:val="0012605E"/>
    <w:rsid w:val="00130446"/>
    <w:rsid w:val="0013589A"/>
    <w:rsid w:val="0013622C"/>
    <w:rsid w:val="00137610"/>
    <w:rsid w:val="001421BC"/>
    <w:rsid w:val="00142756"/>
    <w:rsid w:val="00150C5A"/>
    <w:rsid w:val="0015229B"/>
    <w:rsid w:val="00153BAB"/>
    <w:rsid w:val="001556D1"/>
    <w:rsid w:val="00156E28"/>
    <w:rsid w:val="00161C20"/>
    <w:rsid w:val="001705BB"/>
    <w:rsid w:val="001709F7"/>
    <w:rsid w:val="00173332"/>
    <w:rsid w:val="00180BEA"/>
    <w:rsid w:val="00181559"/>
    <w:rsid w:val="001938DE"/>
    <w:rsid w:val="00196EFD"/>
    <w:rsid w:val="001A4A55"/>
    <w:rsid w:val="001B364B"/>
    <w:rsid w:val="001B3C0B"/>
    <w:rsid w:val="001C1FFE"/>
    <w:rsid w:val="001C4072"/>
    <w:rsid w:val="001D5C39"/>
    <w:rsid w:val="001E25FA"/>
    <w:rsid w:val="001F1C6E"/>
    <w:rsid w:val="001F7277"/>
    <w:rsid w:val="001F7BF4"/>
    <w:rsid w:val="00206E39"/>
    <w:rsid w:val="002166B1"/>
    <w:rsid w:val="00224AB3"/>
    <w:rsid w:val="00245FCC"/>
    <w:rsid w:val="002544F9"/>
    <w:rsid w:val="00256DA9"/>
    <w:rsid w:val="0025753E"/>
    <w:rsid w:val="00262A64"/>
    <w:rsid w:val="00265906"/>
    <w:rsid w:val="002814E0"/>
    <w:rsid w:val="00283070"/>
    <w:rsid w:val="00284B33"/>
    <w:rsid w:val="002859C3"/>
    <w:rsid w:val="0029153B"/>
    <w:rsid w:val="0029257C"/>
    <w:rsid w:val="002B134F"/>
    <w:rsid w:val="002B5D86"/>
    <w:rsid w:val="002C0706"/>
    <w:rsid w:val="002C1FC0"/>
    <w:rsid w:val="002C33B1"/>
    <w:rsid w:val="002C60E0"/>
    <w:rsid w:val="002C74B9"/>
    <w:rsid w:val="002D3144"/>
    <w:rsid w:val="002E42ED"/>
    <w:rsid w:val="002E43CE"/>
    <w:rsid w:val="002F60BA"/>
    <w:rsid w:val="0030230D"/>
    <w:rsid w:val="0030326B"/>
    <w:rsid w:val="00303289"/>
    <w:rsid w:val="0030527A"/>
    <w:rsid w:val="00316700"/>
    <w:rsid w:val="003237AD"/>
    <w:rsid w:val="00323C2B"/>
    <w:rsid w:val="00326337"/>
    <w:rsid w:val="00341678"/>
    <w:rsid w:val="00341DA2"/>
    <w:rsid w:val="00353DAD"/>
    <w:rsid w:val="0035608E"/>
    <w:rsid w:val="0035663B"/>
    <w:rsid w:val="00364257"/>
    <w:rsid w:val="0036439F"/>
    <w:rsid w:val="00365DD5"/>
    <w:rsid w:val="0037236F"/>
    <w:rsid w:val="00373B7C"/>
    <w:rsid w:val="003759A8"/>
    <w:rsid w:val="00382848"/>
    <w:rsid w:val="003876BF"/>
    <w:rsid w:val="003908E8"/>
    <w:rsid w:val="00391456"/>
    <w:rsid w:val="003953FF"/>
    <w:rsid w:val="003A0A28"/>
    <w:rsid w:val="003A4BA4"/>
    <w:rsid w:val="003B26C2"/>
    <w:rsid w:val="003B382D"/>
    <w:rsid w:val="003B6D5D"/>
    <w:rsid w:val="003B7E5A"/>
    <w:rsid w:val="003C0B98"/>
    <w:rsid w:val="003C62F3"/>
    <w:rsid w:val="003D62CB"/>
    <w:rsid w:val="003D7499"/>
    <w:rsid w:val="003E024E"/>
    <w:rsid w:val="003E2F86"/>
    <w:rsid w:val="003E36B8"/>
    <w:rsid w:val="003F65E5"/>
    <w:rsid w:val="003F7008"/>
    <w:rsid w:val="0040079C"/>
    <w:rsid w:val="00400E66"/>
    <w:rsid w:val="004109F4"/>
    <w:rsid w:val="0042030A"/>
    <w:rsid w:val="0042335D"/>
    <w:rsid w:val="00424823"/>
    <w:rsid w:val="00432E6B"/>
    <w:rsid w:val="00443F22"/>
    <w:rsid w:val="004459A5"/>
    <w:rsid w:val="004472CE"/>
    <w:rsid w:val="00447850"/>
    <w:rsid w:val="004512C6"/>
    <w:rsid w:val="0045789F"/>
    <w:rsid w:val="00464CCF"/>
    <w:rsid w:val="004667E8"/>
    <w:rsid w:val="00467CC5"/>
    <w:rsid w:val="00470E5C"/>
    <w:rsid w:val="00480298"/>
    <w:rsid w:val="00481129"/>
    <w:rsid w:val="00481A39"/>
    <w:rsid w:val="00486EF4"/>
    <w:rsid w:val="004A44B5"/>
    <w:rsid w:val="004B72C5"/>
    <w:rsid w:val="004C04B3"/>
    <w:rsid w:val="004C2EEA"/>
    <w:rsid w:val="004C5E6D"/>
    <w:rsid w:val="004D4C44"/>
    <w:rsid w:val="004D7F1F"/>
    <w:rsid w:val="004F4F03"/>
    <w:rsid w:val="004F706F"/>
    <w:rsid w:val="0050638E"/>
    <w:rsid w:val="00506B0A"/>
    <w:rsid w:val="0050756D"/>
    <w:rsid w:val="00507CAB"/>
    <w:rsid w:val="00515250"/>
    <w:rsid w:val="00522283"/>
    <w:rsid w:val="005233BC"/>
    <w:rsid w:val="00524E34"/>
    <w:rsid w:val="00527479"/>
    <w:rsid w:val="00527E92"/>
    <w:rsid w:val="005355AA"/>
    <w:rsid w:val="0053694C"/>
    <w:rsid w:val="00545FDB"/>
    <w:rsid w:val="005520C4"/>
    <w:rsid w:val="0055324A"/>
    <w:rsid w:val="00557F94"/>
    <w:rsid w:val="00562148"/>
    <w:rsid w:val="00563F43"/>
    <w:rsid w:val="0057226B"/>
    <w:rsid w:val="00573957"/>
    <w:rsid w:val="00575B6F"/>
    <w:rsid w:val="00591269"/>
    <w:rsid w:val="005932B8"/>
    <w:rsid w:val="00595F24"/>
    <w:rsid w:val="005A1F6F"/>
    <w:rsid w:val="005A69E7"/>
    <w:rsid w:val="005A7600"/>
    <w:rsid w:val="005B046F"/>
    <w:rsid w:val="005B308E"/>
    <w:rsid w:val="005B4635"/>
    <w:rsid w:val="005C2F33"/>
    <w:rsid w:val="005C52CB"/>
    <w:rsid w:val="005C695F"/>
    <w:rsid w:val="005D4869"/>
    <w:rsid w:val="005E43EE"/>
    <w:rsid w:val="005E5BB8"/>
    <w:rsid w:val="005E7A05"/>
    <w:rsid w:val="005F3365"/>
    <w:rsid w:val="005F6229"/>
    <w:rsid w:val="0060044C"/>
    <w:rsid w:val="00602A39"/>
    <w:rsid w:val="0060652D"/>
    <w:rsid w:val="006068D7"/>
    <w:rsid w:val="00606F04"/>
    <w:rsid w:val="00622EF5"/>
    <w:rsid w:val="00623795"/>
    <w:rsid w:val="0062608A"/>
    <w:rsid w:val="00633CD7"/>
    <w:rsid w:val="00633D43"/>
    <w:rsid w:val="00636143"/>
    <w:rsid w:val="00642E73"/>
    <w:rsid w:val="0064773A"/>
    <w:rsid w:val="00654899"/>
    <w:rsid w:val="006617A0"/>
    <w:rsid w:val="00662ECF"/>
    <w:rsid w:val="00666685"/>
    <w:rsid w:val="006729C9"/>
    <w:rsid w:val="00677F98"/>
    <w:rsid w:val="00696058"/>
    <w:rsid w:val="006A56BA"/>
    <w:rsid w:val="006A5E17"/>
    <w:rsid w:val="006B0E01"/>
    <w:rsid w:val="006B2F15"/>
    <w:rsid w:val="006B602B"/>
    <w:rsid w:val="006B6952"/>
    <w:rsid w:val="006B761F"/>
    <w:rsid w:val="006C1446"/>
    <w:rsid w:val="006D52B1"/>
    <w:rsid w:val="006D6E9A"/>
    <w:rsid w:val="006F02F6"/>
    <w:rsid w:val="006F218D"/>
    <w:rsid w:val="006F4FC5"/>
    <w:rsid w:val="0070004C"/>
    <w:rsid w:val="007022A8"/>
    <w:rsid w:val="00702C9B"/>
    <w:rsid w:val="00706E13"/>
    <w:rsid w:val="00710F2F"/>
    <w:rsid w:val="0071232A"/>
    <w:rsid w:val="00722785"/>
    <w:rsid w:val="0073210E"/>
    <w:rsid w:val="0073650D"/>
    <w:rsid w:val="007566DF"/>
    <w:rsid w:val="00760DE0"/>
    <w:rsid w:val="00764E57"/>
    <w:rsid w:val="00776973"/>
    <w:rsid w:val="0077729A"/>
    <w:rsid w:val="00780BFE"/>
    <w:rsid w:val="0078397E"/>
    <w:rsid w:val="00785B20"/>
    <w:rsid w:val="00787DE9"/>
    <w:rsid w:val="007A0BC7"/>
    <w:rsid w:val="007A0CE4"/>
    <w:rsid w:val="007A0D2B"/>
    <w:rsid w:val="007B1A49"/>
    <w:rsid w:val="007B1C6E"/>
    <w:rsid w:val="007B2CE4"/>
    <w:rsid w:val="007B459B"/>
    <w:rsid w:val="007B4B15"/>
    <w:rsid w:val="007C1742"/>
    <w:rsid w:val="007C3C39"/>
    <w:rsid w:val="007C7B14"/>
    <w:rsid w:val="007D09B2"/>
    <w:rsid w:val="007E3396"/>
    <w:rsid w:val="007F0360"/>
    <w:rsid w:val="007F20F1"/>
    <w:rsid w:val="007F2D42"/>
    <w:rsid w:val="007F41EB"/>
    <w:rsid w:val="008024C2"/>
    <w:rsid w:val="0080265E"/>
    <w:rsid w:val="00803B31"/>
    <w:rsid w:val="0080603C"/>
    <w:rsid w:val="00810924"/>
    <w:rsid w:val="00811439"/>
    <w:rsid w:val="008122B2"/>
    <w:rsid w:val="00820096"/>
    <w:rsid w:val="008235B5"/>
    <w:rsid w:val="00830160"/>
    <w:rsid w:val="00830673"/>
    <w:rsid w:val="00833511"/>
    <w:rsid w:val="00840553"/>
    <w:rsid w:val="00840E6A"/>
    <w:rsid w:val="00842E60"/>
    <w:rsid w:val="008533DE"/>
    <w:rsid w:val="00853956"/>
    <w:rsid w:val="008544A7"/>
    <w:rsid w:val="00857DF8"/>
    <w:rsid w:val="00857E18"/>
    <w:rsid w:val="00863233"/>
    <w:rsid w:val="00866170"/>
    <w:rsid w:val="00894E81"/>
    <w:rsid w:val="00895569"/>
    <w:rsid w:val="008A36EC"/>
    <w:rsid w:val="008A59D1"/>
    <w:rsid w:val="008A62E5"/>
    <w:rsid w:val="008A7A6D"/>
    <w:rsid w:val="008B1633"/>
    <w:rsid w:val="008B19E2"/>
    <w:rsid w:val="008B7C10"/>
    <w:rsid w:val="008C2E13"/>
    <w:rsid w:val="008C42A7"/>
    <w:rsid w:val="008C6AE2"/>
    <w:rsid w:val="008C6DFB"/>
    <w:rsid w:val="008D242B"/>
    <w:rsid w:val="008D73AF"/>
    <w:rsid w:val="008E165B"/>
    <w:rsid w:val="008E1E96"/>
    <w:rsid w:val="008E2433"/>
    <w:rsid w:val="008E4CF5"/>
    <w:rsid w:val="008F5A2F"/>
    <w:rsid w:val="009022F9"/>
    <w:rsid w:val="00905533"/>
    <w:rsid w:val="00906688"/>
    <w:rsid w:val="00911DF1"/>
    <w:rsid w:val="009215F3"/>
    <w:rsid w:val="009274DA"/>
    <w:rsid w:val="00927872"/>
    <w:rsid w:val="00932BE6"/>
    <w:rsid w:val="00934B78"/>
    <w:rsid w:val="0094320B"/>
    <w:rsid w:val="00944BCA"/>
    <w:rsid w:val="00952C04"/>
    <w:rsid w:val="00956918"/>
    <w:rsid w:val="00956AF7"/>
    <w:rsid w:val="00960BBE"/>
    <w:rsid w:val="009615A1"/>
    <w:rsid w:val="00963D94"/>
    <w:rsid w:val="00964D83"/>
    <w:rsid w:val="00966667"/>
    <w:rsid w:val="00966734"/>
    <w:rsid w:val="00982A87"/>
    <w:rsid w:val="009859F6"/>
    <w:rsid w:val="009A14CE"/>
    <w:rsid w:val="009A388C"/>
    <w:rsid w:val="009B7243"/>
    <w:rsid w:val="009B7514"/>
    <w:rsid w:val="009C1AB1"/>
    <w:rsid w:val="009C5B90"/>
    <w:rsid w:val="009D25E6"/>
    <w:rsid w:val="009E6F15"/>
    <w:rsid w:val="009E7C41"/>
    <w:rsid w:val="009F0A57"/>
    <w:rsid w:val="009F4CF5"/>
    <w:rsid w:val="009F4EF9"/>
    <w:rsid w:val="009F6DEC"/>
    <w:rsid w:val="009F7D9F"/>
    <w:rsid w:val="00A037AA"/>
    <w:rsid w:val="00A05A7B"/>
    <w:rsid w:val="00A1434E"/>
    <w:rsid w:val="00A14F1D"/>
    <w:rsid w:val="00A226DF"/>
    <w:rsid w:val="00A26B93"/>
    <w:rsid w:val="00A26F81"/>
    <w:rsid w:val="00A31FA3"/>
    <w:rsid w:val="00A408B4"/>
    <w:rsid w:val="00A46254"/>
    <w:rsid w:val="00A50374"/>
    <w:rsid w:val="00A52069"/>
    <w:rsid w:val="00A520B7"/>
    <w:rsid w:val="00A6328D"/>
    <w:rsid w:val="00A82E0C"/>
    <w:rsid w:val="00A84F35"/>
    <w:rsid w:val="00A85A46"/>
    <w:rsid w:val="00A87499"/>
    <w:rsid w:val="00A92EED"/>
    <w:rsid w:val="00A947E8"/>
    <w:rsid w:val="00AA2073"/>
    <w:rsid w:val="00AA38F2"/>
    <w:rsid w:val="00AB459A"/>
    <w:rsid w:val="00AB719B"/>
    <w:rsid w:val="00AC6D86"/>
    <w:rsid w:val="00AD225C"/>
    <w:rsid w:val="00AD22CA"/>
    <w:rsid w:val="00AE0EFD"/>
    <w:rsid w:val="00AE19F6"/>
    <w:rsid w:val="00AE7F04"/>
    <w:rsid w:val="00AF1511"/>
    <w:rsid w:val="00AF5934"/>
    <w:rsid w:val="00AF7ABE"/>
    <w:rsid w:val="00B01428"/>
    <w:rsid w:val="00B01A95"/>
    <w:rsid w:val="00B01B79"/>
    <w:rsid w:val="00B04FBB"/>
    <w:rsid w:val="00B1117B"/>
    <w:rsid w:val="00B23D4D"/>
    <w:rsid w:val="00B30805"/>
    <w:rsid w:val="00B3744B"/>
    <w:rsid w:val="00B400BC"/>
    <w:rsid w:val="00B45238"/>
    <w:rsid w:val="00B45322"/>
    <w:rsid w:val="00B454FE"/>
    <w:rsid w:val="00B470A6"/>
    <w:rsid w:val="00B55DD9"/>
    <w:rsid w:val="00B669B6"/>
    <w:rsid w:val="00B707BC"/>
    <w:rsid w:val="00B73880"/>
    <w:rsid w:val="00B73F96"/>
    <w:rsid w:val="00B74BD7"/>
    <w:rsid w:val="00B77C2F"/>
    <w:rsid w:val="00B85AC7"/>
    <w:rsid w:val="00B860C3"/>
    <w:rsid w:val="00B91741"/>
    <w:rsid w:val="00BB0E78"/>
    <w:rsid w:val="00BB133C"/>
    <w:rsid w:val="00BB2F04"/>
    <w:rsid w:val="00BB5470"/>
    <w:rsid w:val="00BB64D7"/>
    <w:rsid w:val="00BB7080"/>
    <w:rsid w:val="00BB765B"/>
    <w:rsid w:val="00BC6426"/>
    <w:rsid w:val="00BC77D0"/>
    <w:rsid w:val="00BD4AEB"/>
    <w:rsid w:val="00BE5F5D"/>
    <w:rsid w:val="00BF335E"/>
    <w:rsid w:val="00C01770"/>
    <w:rsid w:val="00C14BD3"/>
    <w:rsid w:val="00C237FE"/>
    <w:rsid w:val="00C24BD1"/>
    <w:rsid w:val="00C33AC5"/>
    <w:rsid w:val="00C33E5F"/>
    <w:rsid w:val="00C34AB0"/>
    <w:rsid w:val="00C43262"/>
    <w:rsid w:val="00C44E0A"/>
    <w:rsid w:val="00C46AF8"/>
    <w:rsid w:val="00C479A1"/>
    <w:rsid w:val="00C50321"/>
    <w:rsid w:val="00C54FE2"/>
    <w:rsid w:val="00C6017E"/>
    <w:rsid w:val="00C64014"/>
    <w:rsid w:val="00C6498C"/>
    <w:rsid w:val="00C65672"/>
    <w:rsid w:val="00C66CF9"/>
    <w:rsid w:val="00C74017"/>
    <w:rsid w:val="00C748A4"/>
    <w:rsid w:val="00C83221"/>
    <w:rsid w:val="00C91854"/>
    <w:rsid w:val="00C978C1"/>
    <w:rsid w:val="00CA1EEF"/>
    <w:rsid w:val="00CA1F09"/>
    <w:rsid w:val="00CA4B22"/>
    <w:rsid w:val="00CC7CA9"/>
    <w:rsid w:val="00CD0CB0"/>
    <w:rsid w:val="00CD11D2"/>
    <w:rsid w:val="00CD6DE4"/>
    <w:rsid w:val="00CE32A1"/>
    <w:rsid w:val="00CF0DF0"/>
    <w:rsid w:val="00CF25B5"/>
    <w:rsid w:val="00CF2D53"/>
    <w:rsid w:val="00CF468D"/>
    <w:rsid w:val="00CF5591"/>
    <w:rsid w:val="00D01F83"/>
    <w:rsid w:val="00D0322B"/>
    <w:rsid w:val="00D032B1"/>
    <w:rsid w:val="00D07E57"/>
    <w:rsid w:val="00D177F1"/>
    <w:rsid w:val="00D21705"/>
    <w:rsid w:val="00D22DFC"/>
    <w:rsid w:val="00D3193A"/>
    <w:rsid w:val="00D34A70"/>
    <w:rsid w:val="00D36552"/>
    <w:rsid w:val="00D428A3"/>
    <w:rsid w:val="00D42E45"/>
    <w:rsid w:val="00D43C1D"/>
    <w:rsid w:val="00D50909"/>
    <w:rsid w:val="00D529EA"/>
    <w:rsid w:val="00D60CF5"/>
    <w:rsid w:val="00D63725"/>
    <w:rsid w:val="00D71AC5"/>
    <w:rsid w:val="00D724BC"/>
    <w:rsid w:val="00D80BD9"/>
    <w:rsid w:val="00DA3711"/>
    <w:rsid w:val="00DA470D"/>
    <w:rsid w:val="00DB0D4F"/>
    <w:rsid w:val="00DB4BAC"/>
    <w:rsid w:val="00DC61E9"/>
    <w:rsid w:val="00DD4173"/>
    <w:rsid w:val="00DE3516"/>
    <w:rsid w:val="00E006C4"/>
    <w:rsid w:val="00E0128B"/>
    <w:rsid w:val="00E04D93"/>
    <w:rsid w:val="00E13E2A"/>
    <w:rsid w:val="00E17230"/>
    <w:rsid w:val="00E213AD"/>
    <w:rsid w:val="00E251E1"/>
    <w:rsid w:val="00E272DA"/>
    <w:rsid w:val="00E34955"/>
    <w:rsid w:val="00E37159"/>
    <w:rsid w:val="00E421B7"/>
    <w:rsid w:val="00E42F27"/>
    <w:rsid w:val="00E43646"/>
    <w:rsid w:val="00E5089E"/>
    <w:rsid w:val="00E51150"/>
    <w:rsid w:val="00E61CA8"/>
    <w:rsid w:val="00E62024"/>
    <w:rsid w:val="00E700F9"/>
    <w:rsid w:val="00E74C95"/>
    <w:rsid w:val="00E81AFD"/>
    <w:rsid w:val="00E92117"/>
    <w:rsid w:val="00E954CA"/>
    <w:rsid w:val="00E96853"/>
    <w:rsid w:val="00EA08BF"/>
    <w:rsid w:val="00EA0C09"/>
    <w:rsid w:val="00EB2835"/>
    <w:rsid w:val="00EB5D09"/>
    <w:rsid w:val="00EC23C7"/>
    <w:rsid w:val="00EC2F4F"/>
    <w:rsid w:val="00EC3944"/>
    <w:rsid w:val="00EC7557"/>
    <w:rsid w:val="00ED0D86"/>
    <w:rsid w:val="00ED3A0F"/>
    <w:rsid w:val="00ED3DBA"/>
    <w:rsid w:val="00EE4104"/>
    <w:rsid w:val="00EE55E1"/>
    <w:rsid w:val="00EE5CCC"/>
    <w:rsid w:val="00EF1DB7"/>
    <w:rsid w:val="00EF4980"/>
    <w:rsid w:val="00EF54A7"/>
    <w:rsid w:val="00F104DE"/>
    <w:rsid w:val="00F10534"/>
    <w:rsid w:val="00F12478"/>
    <w:rsid w:val="00F16927"/>
    <w:rsid w:val="00F320E7"/>
    <w:rsid w:val="00F37E0C"/>
    <w:rsid w:val="00F417B6"/>
    <w:rsid w:val="00F438FC"/>
    <w:rsid w:val="00F44B79"/>
    <w:rsid w:val="00F6648E"/>
    <w:rsid w:val="00F6685E"/>
    <w:rsid w:val="00F72AB9"/>
    <w:rsid w:val="00F72D5D"/>
    <w:rsid w:val="00F86745"/>
    <w:rsid w:val="00F94190"/>
    <w:rsid w:val="00F95C01"/>
    <w:rsid w:val="00F975CC"/>
    <w:rsid w:val="00FA01A5"/>
    <w:rsid w:val="00FA0FEA"/>
    <w:rsid w:val="00FA32B6"/>
    <w:rsid w:val="00FA3A39"/>
    <w:rsid w:val="00FB4FE1"/>
    <w:rsid w:val="00FB5585"/>
    <w:rsid w:val="00FC0BCD"/>
    <w:rsid w:val="00FC36CD"/>
    <w:rsid w:val="00FD1185"/>
    <w:rsid w:val="00FE05C5"/>
    <w:rsid w:val="00FE09EF"/>
    <w:rsid w:val="00FF29FB"/>
    <w:rsid w:val="00FF4C83"/>
    <w:rsid w:val="030F4424"/>
    <w:rsid w:val="0327179E"/>
    <w:rsid w:val="054232AE"/>
    <w:rsid w:val="0B037EBC"/>
    <w:rsid w:val="0B385E47"/>
    <w:rsid w:val="0FC93A62"/>
    <w:rsid w:val="120059C8"/>
    <w:rsid w:val="133300BC"/>
    <w:rsid w:val="135A4AC7"/>
    <w:rsid w:val="144C0E46"/>
    <w:rsid w:val="14EA5216"/>
    <w:rsid w:val="19DC3A15"/>
    <w:rsid w:val="1DBA2BD9"/>
    <w:rsid w:val="1E28404A"/>
    <w:rsid w:val="20C64912"/>
    <w:rsid w:val="244E1304"/>
    <w:rsid w:val="2EFF3E19"/>
    <w:rsid w:val="2FAB0637"/>
    <w:rsid w:val="32193721"/>
    <w:rsid w:val="36600E43"/>
    <w:rsid w:val="36FC71A1"/>
    <w:rsid w:val="3BE11F05"/>
    <w:rsid w:val="3E0C52B0"/>
    <w:rsid w:val="3F7C78A7"/>
    <w:rsid w:val="45F95458"/>
    <w:rsid w:val="4A205AFF"/>
    <w:rsid w:val="4F1B15BA"/>
    <w:rsid w:val="54A86188"/>
    <w:rsid w:val="566B1E65"/>
    <w:rsid w:val="580559CA"/>
    <w:rsid w:val="5AE34EDF"/>
    <w:rsid w:val="5E561D0F"/>
    <w:rsid w:val="63F40A74"/>
    <w:rsid w:val="657D1B52"/>
    <w:rsid w:val="66464BBD"/>
    <w:rsid w:val="667D4EC4"/>
    <w:rsid w:val="67143969"/>
    <w:rsid w:val="677A36C7"/>
    <w:rsid w:val="68187150"/>
    <w:rsid w:val="695B45C3"/>
    <w:rsid w:val="696B5488"/>
    <w:rsid w:val="698A4163"/>
    <w:rsid w:val="6CE577B7"/>
    <w:rsid w:val="6E2E7E8E"/>
    <w:rsid w:val="71351E8D"/>
    <w:rsid w:val="71AE79B7"/>
    <w:rsid w:val="720B6182"/>
    <w:rsid w:val="723E78E7"/>
    <w:rsid w:val="72CD3B5B"/>
    <w:rsid w:val="77B5517C"/>
    <w:rsid w:val="77F55EF5"/>
    <w:rsid w:val="7BC94F7F"/>
    <w:rsid w:val="7C367925"/>
    <w:rsid w:val="7D4312E9"/>
    <w:rsid w:val="7D437197"/>
    <w:rsid w:val="7EC76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1"/>
    <w:basedOn w:val="1"/>
    <w:next w:val="1"/>
    <w:link w:val="22"/>
    <w:qFormat/>
    <w:uiPriority w:val="9"/>
    <w:pPr>
      <w:keepNext/>
      <w:keepLines/>
      <w:spacing w:line="600" w:lineRule="exact"/>
      <w:jc w:val="both"/>
      <w:outlineLvl w:val="0"/>
    </w:pPr>
    <w:rPr>
      <w:rFonts w:ascii="黑体" w:eastAsia="黑体"/>
      <w:bCs/>
      <w:kern w:val="44"/>
      <w:sz w:val="32"/>
      <w:szCs w:val="44"/>
    </w:rPr>
  </w:style>
  <w:style w:type="paragraph" w:styleId="4">
    <w:name w:val="heading 2"/>
    <w:basedOn w:val="1"/>
    <w:next w:val="1"/>
    <w:link w:val="23"/>
    <w:unhideWhenUsed/>
    <w:qFormat/>
    <w:uiPriority w:val="9"/>
    <w:pPr>
      <w:keepNext/>
      <w:keepLines/>
      <w:spacing w:line="600" w:lineRule="exact"/>
      <w:ind w:firstLine="200" w:firstLineChars="200"/>
      <w:jc w:val="both"/>
      <w:outlineLvl w:val="1"/>
    </w:pPr>
    <w:rPr>
      <w:rFonts w:ascii="楷体" w:eastAsia="楷体" w:cs="Times New Roman"/>
      <w:bCs/>
      <w:sz w:val="32"/>
      <w:szCs w:val="32"/>
    </w:rPr>
  </w:style>
  <w:style w:type="paragraph" w:styleId="5">
    <w:name w:val="heading 3"/>
    <w:basedOn w:val="1"/>
    <w:next w:val="1"/>
    <w:link w:val="24"/>
    <w:unhideWhenUsed/>
    <w:qFormat/>
    <w:uiPriority w:val="9"/>
    <w:pPr>
      <w:keepNext/>
      <w:keepLines/>
      <w:spacing w:line="600" w:lineRule="exact"/>
      <w:ind w:firstLine="200" w:firstLineChars="200"/>
      <w:jc w:val="both"/>
      <w:outlineLvl w:val="2"/>
    </w:pPr>
    <w:rPr>
      <w:rFonts w:ascii="仿宋" w:eastAsia="仿宋"/>
      <w:b/>
      <w:bCs/>
      <w:sz w:val="32"/>
      <w:szCs w:val="32"/>
    </w:rPr>
  </w:style>
  <w:style w:type="paragraph" w:styleId="6">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等线" w:hAnsi="等线" w:eastAsia="等线" w:cs="Times New Roman"/>
      <w:szCs w:val="24"/>
    </w:rPr>
  </w:style>
  <w:style w:type="paragraph" w:styleId="7">
    <w:name w:val="annotation text"/>
    <w:basedOn w:val="1"/>
    <w:link w:val="31"/>
    <w:qFormat/>
    <w:uiPriority w:val="0"/>
    <w:pPr>
      <w:widowControl w:val="0"/>
      <w:kinsoku/>
      <w:autoSpaceDE/>
      <w:autoSpaceDN/>
      <w:adjustRightInd/>
      <w:snapToGrid/>
      <w:spacing w:line="360" w:lineRule="auto"/>
      <w:ind w:firstLine="200" w:firstLineChars="200"/>
      <w:textAlignment w:val="auto"/>
    </w:pPr>
    <w:rPr>
      <w:rFonts w:ascii="仿宋_GB2312" w:hAnsi="仿宋_GB2312" w:eastAsia="仿宋_GB2312" w:cs="Times New Roman"/>
      <w:snapToGrid/>
      <w:color w:val="auto"/>
      <w:kern w:val="2"/>
      <w:sz w:val="32"/>
      <w:szCs w:val="24"/>
    </w:rPr>
  </w:style>
  <w:style w:type="paragraph" w:styleId="8">
    <w:name w:val="Body Text"/>
    <w:basedOn w:val="1"/>
    <w:link w:val="25"/>
    <w:qFormat/>
    <w:uiPriority w:val="0"/>
    <w:pPr>
      <w:widowControl w:val="0"/>
      <w:kinsoku/>
      <w:autoSpaceDE/>
      <w:autoSpaceDN/>
      <w:adjustRightInd/>
      <w:snapToGrid/>
      <w:spacing w:after="120"/>
      <w:jc w:val="both"/>
      <w:textAlignment w:val="auto"/>
    </w:pPr>
    <w:rPr>
      <w:rFonts w:ascii="Times New Roman" w:hAnsi="Times New Roman" w:eastAsia="宋体" w:cs="Times New Roman"/>
      <w:snapToGrid/>
      <w:color w:val="auto"/>
      <w:kern w:val="2"/>
      <w:szCs w:val="24"/>
    </w:rPr>
  </w:style>
  <w:style w:type="paragraph" w:styleId="9">
    <w:name w:val="Body Text Indent"/>
    <w:basedOn w:val="1"/>
    <w:next w:val="1"/>
    <w:link w:val="26"/>
    <w:semiHidden/>
    <w:unhideWhenUsed/>
    <w:qFormat/>
    <w:uiPriority w:val="99"/>
    <w:pPr>
      <w:spacing w:after="120"/>
      <w:ind w:left="420" w:leftChars="200"/>
    </w:pPr>
  </w:style>
  <w:style w:type="paragraph" w:styleId="10">
    <w:name w:val="Balloon Text"/>
    <w:basedOn w:val="1"/>
    <w:link w:val="33"/>
    <w:semiHidden/>
    <w:unhideWhenUsed/>
    <w:qFormat/>
    <w:uiPriority w:val="99"/>
    <w:rPr>
      <w:sz w:val="18"/>
      <w:szCs w:val="18"/>
    </w:rPr>
  </w:style>
  <w:style w:type="paragraph" w:styleId="11">
    <w:name w:val="footer"/>
    <w:basedOn w:val="1"/>
    <w:link w:val="21"/>
    <w:unhideWhenUsed/>
    <w:qFormat/>
    <w:uiPriority w:val="99"/>
    <w:pPr>
      <w:tabs>
        <w:tab w:val="center" w:pos="4153"/>
        <w:tab w:val="right" w:pos="8306"/>
      </w:tabs>
    </w:pPr>
    <w:rPr>
      <w:sz w:val="18"/>
      <w:szCs w:val="18"/>
    </w:rPr>
  </w:style>
  <w:style w:type="paragraph" w:styleId="12">
    <w:name w:val="header"/>
    <w:basedOn w:val="1"/>
    <w:link w:val="20"/>
    <w:unhideWhenUsed/>
    <w:qFormat/>
    <w:uiPriority w:val="99"/>
    <w:pPr>
      <w:pBdr>
        <w:bottom w:val="single" w:color="auto" w:sz="6" w:space="1"/>
      </w:pBdr>
      <w:tabs>
        <w:tab w:val="center" w:pos="4153"/>
        <w:tab w:val="right" w:pos="8306"/>
      </w:tabs>
      <w:jc w:val="center"/>
    </w:pPr>
    <w:rPr>
      <w:sz w:val="18"/>
      <w:szCs w:val="18"/>
    </w:rPr>
  </w:style>
  <w:style w:type="paragraph" w:styleId="13">
    <w:name w:val="Title"/>
    <w:basedOn w:val="1"/>
    <w:next w:val="1"/>
    <w:link w:val="27"/>
    <w:qFormat/>
    <w:uiPriority w:val="0"/>
    <w:pPr>
      <w:widowControl w:val="0"/>
      <w:kinsoku/>
      <w:autoSpaceDE/>
      <w:autoSpaceDN/>
      <w:adjustRightInd/>
      <w:snapToGrid/>
      <w:textAlignment w:val="auto"/>
      <w:outlineLvl w:val="0"/>
    </w:pPr>
    <w:rPr>
      <w:rFonts w:ascii="Times New Roman" w:hAnsi="Times New Roman" w:eastAsia="楷体_GB2312" w:cs="Times New Roman"/>
      <w:bCs/>
      <w:snapToGrid/>
      <w:color w:val="auto"/>
      <w:kern w:val="2"/>
      <w:sz w:val="32"/>
      <w:szCs w:val="32"/>
    </w:rPr>
  </w:style>
  <w:style w:type="paragraph" w:styleId="14">
    <w:name w:val="annotation subject"/>
    <w:basedOn w:val="7"/>
    <w:next w:val="7"/>
    <w:link w:val="37"/>
    <w:semiHidden/>
    <w:unhideWhenUsed/>
    <w:qFormat/>
    <w:uiPriority w:val="99"/>
    <w:pPr>
      <w:widowControl/>
      <w:kinsoku w:val="0"/>
      <w:autoSpaceDE w:val="0"/>
      <w:autoSpaceDN w:val="0"/>
      <w:adjustRightInd w:val="0"/>
      <w:snapToGrid w:val="0"/>
      <w:spacing w:line="240" w:lineRule="auto"/>
      <w:ind w:firstLine="0" w:firstLineChars="0"/>
      <w:textAlignment w:val="baseline"/>
    </w:pPr>
    <w:rPr>
      <w:rFonts w:ascii="Arial" w:hAnsi="Arial" w:eastAsia="Arial" w:cs="Arial"/>
      <w:b/>
      <w:bCs/>
      <w:snapToGrid w:val="0"/>
      <w:color w:val="000000"/>
      <w:kern w:val="0"/>
      <w:sz w:val="21"/>
      <w:szCs w:val="21"/>
    </w:rPr>
  </w:style>
  <w:style w:type="paragraph" w:styleId="15">
    <w:name w:val="Body Text First Indent 2"/>
    <w:basedOn w:val="9"/>
    <w:next w:val="1"/>
    <w:qFormat/>
    <w:uiPriority w:val="99"/>
    <w:pPr>
      <w:spacing w:line="360" w:lineRule="auto"/>
      <w:ind w:firstLine="420" w:firstLineChars="200"/>
    </w:pPr>
    <w:rPr>
      <w:rFonts w:ascii="仿宋_GB2312" w:hAnsi="仿宋_GB2312" w:eastAsia="仿宋_GB2312"/>
      <w:sz w:val="32"/>
    </w:rPr>
  </w:style>
  <w:style w:type="character" w:styleId="18">
    <w:name w:val="annotation reference"/>
    <w:basedOn w:val="17"/>
    <w:semiHidden/>
    <w:unhideWhenUsed/>
    <w:qFormat/>
    <w:uiPriority w:val="99"/>
    <w:rPr>
      <w:sz w:val="21"/>
      <w:szCs w:val="21"/>
    </w:rPr>
  </w:style>
  <w:style w:type="paragraph" w:customStyle="1" w:styleId="19">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character" w:customStyle="1" w:styleId="20">
    <w:name w:val="页眉 字符"/>
    <w:basedOn w:val="17"/>
    <w:link w:val="12"/>
    <w:qFormat/>
    <w:uiPriority w:val="99"/>
    <w:rPr>
      <w:sz w:val="18"/>
      <w:szCs w:val="18"/>
    </w:rPr>
  </w:style>
  <w:style w:type="character" w:customStyle="1" w:styleId="21">
    <w:name w:val="页脚 字符"/>
    <w:basedOn w:val="17"/>
    <w:link w:val="11"/>
    <w:qFormat/>
    <w:uiPriority w:val="99"/>
    <w:rPr>
      <w:sz w:val="18"/>
      <w:szCs w:val="18"/>
    </w:rPr>
  </w:style>
  <w:style w:type="character" w:customStyle="1" w:styleId="22">
    <w:name w:val="标题 1 字符"/>
    <w:basedOn w:val="17"/>
    <w:link w:val="3"/>
    <w:qFormat/>
    <w:uiPriority w:val="9"/>
    <w:rPr>
      <w:rFonts w:ascii="黑体" w:hAnsi="Arial" w:eastAsia="黑体" w:cs="Arial"/>
      <w:bCs/>
      <w:snapToGrid w:val="0"/>
      <w:color w:val="000000"/>
      <w:kern w:val="44"/>
      <w:sz w:val="32"/>
      <w:szCs w:val="44"/>
    </w:rPr>
  </w:style>
  <w:style w:type="character" w:customStyle="1" w:styleId="23">
    <w:name w:val="标题 2 字符"/>
    <w:basedOn w:val="17"/>
    <w:link w:val="4"/>
    <w:qFormat/>
    <w:uiPriority w:val="9"/>
    <w:rPr>
      <w:rFonts w:ascii="楷体" w:hAnsi="Arial" w:eastAsia="楷体" w:cs="Times New Roman"/>
      <w:bCs/>
      <w:snapToGrid w:val="0"/>
      <w:color w:val="000000"/>
      <w:kern w:val="0"/>
      <w:sz w:val="32"/>
      <w:szCs w:val="32"/>
    </w:rPr>
  </w:style>
  <w:style w:type="character" w:customStyle="1" w:styleId="24">
    <w:name w:val="标题 3 字符"/>
    <w:basedOn w:val="17"/>
    <w:link w:val="5"/>
    <w:qFormat/>
    <w:uiPriority w:val="9"/>
    <w:rPr>
      <w:rFonts w:ascii="仿宋" w:hAnsi="Arial" w:eastAsia="仿宋" w:cs="Arial"/>
      <w:b/>
      <w:bCs/>
      <w:snapToGrid w:val="0"/>
      <w:color w:val="000000"/>
      <w:kern w:val="0"/>
      <w:sz w:val="32"/>
      <w:szCs w:val="32"/>
    </w:rPr>
  </w:style>
  <w:style w:type="character" w:customStyle="1" w:styleId="25">
    <w:name w:val="正文文本 字符"/>
    <w:basedOn w:val="17"/>
    <w:link w:val="8"/>
    <w:qFormat/>
    <w:uiPriority w:val="0"/>
    <w:rPr>
      <w:rFonts w:ascii="Times New Roman" w:hAnsi="Times New Roman" w:eastAsia="宋体" w:cs="Times New Roman"/>
      <w:szCs w:val="24"/>
    </w:rPr>
  </w:style>
  <w:style w:type="character" w:customStyle="1" w:styleId="26">
    <w:name w:val="正文文本缩进 字符"/>
    <w:basedOn w:val="17"/>
    <w:link w:val="9"/>
    <w:semiHidden/>
    <w:qFormat/>
    <w:uiPriority w:val="99"/>
    <w:rPr>
      <w:rFonts w:ascii="Arial" w:hAnsi="Arial" w:eastAsia="Arial" w:cs="Arial"/>
      <w:snapToGrid w:val="0"/>
      <w:color w:val="000000"/>
      <w:kern w:val="0"/>
      <w:szCs w:val="21"/>
    </w:rPr>
  </w:style>
  <w:style w:type="character" w:customStyle="1" w:styleId="27">
    <w:name w:val="标题 字符"/>
    <w:basedOn w:val="17"/>
    <w:link w:val="13"/>
    <w:qFormat/>
    <w:uiPriority w:val="0"/>
    <w:rPr>
      <w:rFonts w:ascii="Times New Roman" w:hAnsi="Times New Roman" w:eastAsia="楷体_GB2312" w:cs="Times New Roman"/>
      <w:bCs/>
      <w:sz w:val="32"/>
      <w:szCs w:val="32"/>
    </w:rPr>
  </w:style>
  <w:style w:type="character" w:customStyle="1" w:styleId="28">
    <w:name w:val="标题 字符1"/>
    <w:basedOn w:val="17"/>
    <w:qFormat/>
    <w:uiPriority w:val="10"/>
    <w:rPr>
      <w:rFonts w:asciiTheme="majorHAnsi" w:hAnsiTheme="majorHAnsi" w:eastAsiaTheme="majorEastAsia" w:cstheme="majorBidi"/>
      <w:b/>
      <w:bCs/>
      <w:snapToGrid w:val="0"/>
      <w:color w:val="000000"/>
      <w:kern w:val="0"/>
      <w:sz w:val="32"/>
      <w:szCs w:val="32"/>
    </w:rPr>
  </w:style>
  <w:style w:type="paragraph" w:customStyle="1" w:styleId="29">
    <w:name w:val="Body Text Indent1"/>
    <w:basedOn w:val="1"/>
    <w:qFormat/>
    <w:uiPriority w:val="0"/>
    <w:pPr>
      <w:widowControl w:val="0"/>
      <w:kinsoku/>
      <w:autoSpaceDE/>
      <w:autoSpaceDN/>
      <w:adjustRightInd/>
      <w:snapToGrid/>
      <w:ind w:firstLine="200" w:firstLineChars="200"/>
      <w:jc w:val="both"/>
      <w:textAlignment w:val="auto"/>
    </w:pPr>
    <w:rPr>
      <w:rFonts w:ascii="Calibri" w:hAnsi="Calibri" w:eastAsia="宋体" w:cs="Times New Roman"/>
      <w:snapToGrid/>
      <w:color w:val="auto"/>
      <w:kern w:val="2"/>
      <w:szCs w:val="22"/>
    </w:rPr>
  </w:style>
  <w:style w:type="character" w:customStyle="1" w:styleId="30">
    <w:name w:val="标题 4 字符"/>
    <w:basedOn w:val="17"/>
    <w:link w:val="6"/>
    <w:qFormat/>
    <w:uiPriority w:val="9"/>
    <w:rPr>
      <w:rFonts w:asciiTheme="majorHAnsi" w:hAnsiTheme="majorHAnsi" w:eastAsiaTheme="majorEastAsia" w:cstheme="majorBidi"/>
      <w:b/>
      <w:bCs/>
      <w:snapToGrid w:val="0"/>
      <w:color w:val="000000"/>
      <w:kern w:val="0"/>
      <w:sz w:val="28"/>
      <w:szCs w:val="28"/>
    </w:rPr>
  </w:style>
  <w:style w:type="character" w:customStyle="1" w:styleId="31">
    <w:name w:val="批注文字 字符"/>
    <w:basedOn w:val="17"/>
    <w:link w:val="7"/>
    <w:qFormat/>
    <w:uiPriority w:val="0"/>
    <w:rPr>
      <w:rFonts w:ascii="仿宋_GB2312" w:hAnsi="仿宋_GB2312" w:eastAsia="仿宋_GB2312" w:cs="Times New Roman"/>
      <w:sz w:val="32"/>
      <w:szCs w:val="24"/>
    </w:rPr>
  </w:style>
  <w:style w:type="paragraph" w:customStyle="1" w:styleId="32">
    <w:name w:val="Char Char"/>
    <w:basedOn w:val="1"/>
    <w:qFormat/>
    <w:uiPriority w:val="0"/>
    <w:pPr>
      <w:kinsoku/>
      <w:autoSpaceDE/>
      <w:autoSpaceDN/>
      <w:snapToGrid/>
      <w:spacing w:after="160" w:line="240" w:lineRule="exact"/>
      <w:ind w:firstLine="640" w:firstLineChars="200"/>
      <w:textAlignment w:val="auto"/>
    </w:pPr>
    <w:rPr>
      <w:rFonts w:ascii="Verdana" w:hAnsi="Verdana" w:eastAsia="仿宋_GB2312" w:cs="Times New Roman"/>
      <w:snapToGrid/>
      <w:color w:val="auto"/>
      <w:sz w:val="20"/>
      <w:szCs w:val="20"/>
      <w:lang w:eastAsia="en-US"/>
    </w:rPr>
  </w:style>
  <w:style w:type="character" w:customStyle="1" w:styleId="33">
    <w:name w:val="批注框文本 字符"/>
    <w:basedOn w:val="17"/>
    <w:link w:val="10"/>
    <w:semiHidden/>
    <w:qFormat/>
    <w:uiPriority w:val="99"/>
    <w:rPr>
      <w:rFonts w:ascii="Arial" w:hAnsi="Arial" w:eastAsia="Arial" w:cs="Arial"/>
      <w:snapToGrid w:val="0"/>
      <w:color w:val="000000"/>
      <w:kern w:val="0"/>
      <w:sz w:val="18"/>
      <w:szCs w:val="18"/>
    </w:rPr>
  </w:style>
  <w:style w:type="paragraph" w:styleId="34">
    <w:name w:val="List Paragraph"/>
    <w:basedOn w:val="1"/>
    <w:qFormat/>
    <w:uiPriority w:val="34"/>
    <w:pPr>
      <w:ind w:firstLine="420" w:firstLineChars="200"/>
    </w:pPr>
  </w:style>
  <w:style w:type="paragraph" w:customStyle="1" w:styleId="35">
    <w:name w:val="修订1"/>
    <w:hidden/>
    <w:unhideWhenUsed/>
    <w:qFormat/>
    <w:uiPriority w:val="99"/>
    <w:rPr>
      <w:rFonts w:ascii="Arial" w:hAnsi="Arial" w:eastAsia="Arial" w:cs="Arial"/>
      <w:snapToGrid w:val="0"/>
      <w:color w:val="000000"/>
      <w:sz w:val="21"/>
      <w:szCs w:val="21"/>
      <w:lang w:val="en-US" w:eastAsia="zh-CN" w:bidi="ar-SA"/>
    </w:rPr>
  </w:style>
  <w:style w:type="character" w:customStyle="1" w:styleId="36">
    <w:name w:val="cf01"/>
    <w:basedOn w:val="17"/>
    <w:qFormat/>
    <w:uiPriority w:val="0"/>
    <w:rPr>
      <w:rFonts w:hint="eastAsia" w:ascii="Microsoft YaHei UI" w:hAnsi="Microsoft YaHei UI" w:eastAsia="Microsoft YaHei UI"/>
      <w:sz w:val="18"/>
      <w:szCs w:val="18"/>
    </w:rPr>
  </w:style>
  <w:style w:type="character" w:customStyle="1" w:styleId="37">
    <w:name w:val="批注主题 字符"/>
    <w:basedOn w:val="31"/>
    <w:link w:val="14"/>
    <w:semiHidden/>
    <w:qFormat/>
    <w:uiPriority w:val="99"/>
    <w:rPr>
      <w:rFonts w:ascii="Arial" w:hAnsi="Arial" w:eastAsia="Arial" w:cs="Arial"/>
      <w:b/>
      <w:bCs/>
      <w:snapToGrid w:val="0"/>
      <w:color w:val="000000"/>
      <w:sz w:val="21"/>
      <w:szCs w:val="21"/>
    </w:rPr>
  </w:style>
  <w:style w:type="paragraph" w:customStyle="1" w:styleId="38">
    <w:name w:val="Char Char1"/>
    <w:basedOn w:val="1"/>
    <w:qFormat/>
    <w:uiPriority w:val="0"/>
    <w:pPr>
      <w:kinsoku/>
      <w:autoSpaceDE/>
      <w:autoSpaceDN/>
      <w:snapToGrid/>
      <w:spacing w:after="160" w:line="240" w:lineRule="exact"/>
      <w:ind w:firstLine="640" w:firstLineChars="200"/>
      <w:textAlignment w:val="auto"/>
    </w:pPr>
    <w:rPr>
      <w:rFonts w:ascii="Verdana" w:hAnsi="Verdana" w:eastAsia="仿宋_GB2312" w:cs="Times New Roman"/>
      <w:snapToGrid/>
      <w:color w:val="auto"/>
      <w:sz w:val="20"/>
      <w:szCs w:val="20"/>
      <w:lang w:eastAsia="en-US"/>
    </w:rPr>
  </w:style>
  <w:style w:type="paragraph" w:customStyle="1" w:styleId="39">
    <w:name w:val="修订2"/>
    <w:hidden/>
    <w:semiHidden/>
    <w:qFormat/>
    <w:uiPriority w:val="99"/>
    <w:rPr>
      <w:rFonts w:ascii="Arial" w:hAnsi="Arial" w:eastAsia="Arial" w:cs="Arial"/>
      <w:snapToGrid w:val="0"/>
      <w:color w:val="000000"/>
      <w:sz w:val="21"/>
      <w:szCs w:val="21"/>
      <w:lang w:val="en-US" w:eastAsia="zh-CN" w:bidi="ar-SA"/>
    </w:rPr>
  </w:style>
  <w:style w:type="paragraph" w:customStyle="1" w:styleId="40">
    <w:name w:val="Char Char2"/>
    <w:basedOn w:val="1"/>
    <w:qFormat/>
    <w:uiPriority w:val="0"/>
    <w:pPr>
      <w:kinsoku/>
      <w:autoSpaceDE/>
      <w:autoSpaceDN/>
      <w:snapToGrid/>
      <w:spacing w:after="160" w:line="240" w:lineRule="exact"/>
      <w:ind w:firstLine="640" w:firstLineChars="200"/>
      <w:textAlignment w:val="auto"/>
    </w:pPr>
    <w:rPr>
      <w:rFonts w:ascii="Verdana" w:hAnsi="Verdana" w:eastAsia="仿宋_GB2312" w:cs="Times New Roman"/>
      <w:snapToGrid/>
      <w:color w:val="auto"/>
      <w:sz w:val="2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E1479E-C386-4F9B-BE0B-DCE9A5F19111}">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8944</Words>
  <Characters>10384</Characters>
  <Lines>80</Lines>
  <Paragraphs>22</Paragraphs>
  <TotalTime>0</TotalTime>
  <ScaleCrop>false</ScaleCrop>
  <LinksUpToDate>false</LinksUpToDate>
  <CharactersWithSpaces>10394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2023-07-10T09:26:00Z</dcterms:created>
  <dc:creator>hyacinth</dc:creator>
  <cp:lastModifiedBy>Ashley</cp:lastModifiedBy>
  <dcterms:modified xsi:type="dcterms:W3CDTF">2023-07-24T07:03:26Z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6C3BD369368A4D64B9A810A80408C2CE_12</vt:lpwstr>
  </property>
</Properties>
</file>