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           </w:t>
      </w:r>
    </w:p>
    <w:p>
      <w:pPr>
        <w:ind w:firstLine="6716" w:firstLineChars="2300"/>
        <w:rPr>
          <w:rFonts w:ascii="方正仿宋_GBK" w:eastAsia="方正仿宋_GBK"/>
          <w:spacing w:val="6"/>
          <w:sz w:val="28"/>
          <w:szCs w:val="28"/>
        </w:rPr>
      </w:pPr>
      <w:r>
        <w:rPr>
          <w:rFonts w:hint="eastAsia" w:ascii="方正仿宋_GBK" w:eastAsia="方正仿宋_GBK"/>
          <w:spacing w:val="6"/>
          <w:sz w:val="28"/>
          <w:szCs w:val="28"/>
        </w:rPr>
        <w:t>编号：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ind w:firstLine="510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林木种质资源库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申报书</w:t>
      </w: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rPr>
          <w:rFonts w:ascii="方正仿宋_GBK" w:eastAsia="方正仿宋_GBK" w:cs="仿宋_GB2312"/>
          <w:b/>
          <w:sz w:val="32"/>
          <w:szCs w:val="32"/>
        </w:rPr>
      </w:pPr>
    </w:p>
    <w:p>
      <w:pPr>
        <w:ind w:left="92" w:hanging="92" w:hangingChars="29"/>
        <w:rPr>
          <w:rFonts w:ascii="方正仿宋_GBK" w:eastAsia="方正仿宋_GBK" w:cs="仿宋_GB2312"/>
          <w:bCs/>
          <w:sz w:val="32"/>
          <w:szCs w:val="32"/>
          <w:u w:val="single"/>
        </w:rPr>
      </w:pPr>
      <w:r>
        <w:rPr>
          <w:rFonts w:ascii="方正仿宋_GBK" w:eastAsia="方正仿宋_GBK" w:cs="仿宋_GB2312"/>
          <w:sz w:val="32"/>
          <w:szCs w:val="32"/>
        </w:rPr>
        <w:t xml:space="preserve">       林</w:t>
      </w:r>
      <w:r>
        <w:rPr>
          <w:rFonts w:hint="eastAsia" w:ascii="方正仿宋_GBK" w:eastAsia="方正仿宋_GBK" w:cs="仿宋_GB2312"/>
          <w:sz w:val="32"/>
          <w:szCs w:val="32"/>
        </w:rPr>
        <w:t>木</w:t>
      </w:r>
      <w:r>
        <w:rPr>
          <w:rFonts w:hint="eastAsia" w:ascii="方正仿宋_GBK" w:eastAsia="方正仿宋_GBK" w:cs="仿宋_GB2312"/>
          <w:bCs/>
          <w:sz w:val="32"/>
          <w:szCs w:val="32"/>
        </w:rPr>
        <w:t>种质资源库名称</w:t>
      </w:r>
    </w:p>
    <w:p>
      <w:pPr>
        <w:ind w:left="92" w:hanging="92" w:hangingChars="29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申  报  类  型</w:t>
      </w:r>
    </w:p>
    <w:p>
      <w:pPr>
        <w:ind w:firstLine="950" w:firstLineChars="297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申  报  单  位</w:t>
      </w:r>
    </w:p>
    <w:p>
      <w:pPr>
        <w:ind w:firstLine="950" w:firstLineChars="297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申  报  时  间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联    系    人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联  系  电  话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jc w:val="center"/>
        <w:rPr>
          <w:rFonts w:ascii="方正仿宋_GBK" w:eastAsia="方正仿宋_GBK" w:cs="仿宋_GB2312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eastAsia="zh-CN"/>
        </w:rPr>
        <w:t>广东省林业局</w:t>
      </w:r>
      <w:r>
        <w:rPr>
          <w:rFonts w:hint="eastAsia" w:ascii="方正仿宋_GBK" w:eastAsia="方正仿宋_GBK" w:cs="仿宋_GB2312"/>
          <w:sz w:val="32"/>
          <w:szCs w:val="32"/>
        </w:rPr>
        <w:t>编制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br w:type="pag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填 表 说 明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一、编号，申报单位不填写。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二、申报类型为</w:t>
      </w:r>
      <w:r>
        <w:rPr>
          <w:rFonts w:hint="eastAsia" w:ascii="方正仿宋_GBK" w:eastAsia="方正仿宋_GBK"/>
          <w:color w:val="000000"/>
          <w:spacing w:val="6"/>
          <w:sz w:val="30"/>
          <w:szCs w:val="30"/>
        </w:rPr>
        <w:t>林木种质资源异地或原地保存库。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三、申报单位为自愿申请为</w:t>
      </w:r>
      <w:r>
        <w:rPr>
          <w:rFonts w:hint="eastAsia" w:ascii="方正仿宋_GBK" w:eastAsia="方正仿宋_GBK" w:cs="仿宋_GB2312"/>
          <w:sz w:val="30"/>
          <w:szCs w:val="30"/>
          <w:lang w:eastAsia="zh-CN"/>
        </w:rPr>
        <w:t>省级</w:t>
      </w:r>
      <w:r>
        <w:rPr>
          <w:rFonts w:hint="eastAsia" w:ascii="方正仿宋_GBK" w:eastAsia="方正仿宋_GBK" w:cs="仿宋_GB2312"/>
          <w:sz w:val="30"/>
          <w:szCs w:val="30"/>
        </w:rPr>
        <w:t>林木种质资源库的具体实施单位。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四、“地理位置”指林木种质资源库所在的县级行政区划单位名称。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五、“地理坐标”指林木种质资源库所跨的经纬度范围。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六、林木种质资源库的认定与命名情况，已命名为</w:t>
      </w:r>
      <w:r>
        <w:rPr>
          <w:rFonts w:hint="eastAsia" w:ascii="方正仿宋_GBK" w:eastAsia="方正仿宋_GBK" w:cs="仿宋_GB2312"/>
          <w:sz w:val="30"/>
          <w:szCs w:val="30"/>
          <w:lang w:eastAsia="zh-CN"/>
        </w:rPr>
        <w:t>其他</w:t>
      </w:r>
      <w:r>
        <w:rPr>
          <w:rFonts w:hint="eastAsia" w:ascii="方正仿宋_GBK" w:eastAsia="方正仿宋_GBK" w:cs="仿宋_GB2312"/>
          <w:sz w:val="30"/>
          <w:szCs w:val="30"/>
        </w:rPr>
        <w:t>林木种质资源库的填写文号和种质资源库名称，并另附命名文件复印件。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七、“自养能力情况”主要包括自养手段，每年纯收入及其占总支出的比例等内容。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八、“基础设施概况”主要包括现有业务用房、辅助用房、生活用房、交通工具、通讯手段、重要仪器设备的情况。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九、“研究概况”主要包括已完成的科研项目名称及成果、正在进行的科研项目名称、科研计划及国际合作交流计划等内容。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十、“自然环境状况”主要包括自然条件和自然资源概况、现存和潜在的环境问题等内容。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十一、“周围地区社会经济状况”主要指社会、经济活动对保护对象可能造成的影响及其预防措施。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十二、按申报书格式填写，位置不够可适当加页，但不得改变格式和内容。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十三、本申报书一式一份，与其他申报材料一并报送，申报材料统一用A4规格纸印制。</w:t>
      </w:r>
    </w:p>
    <w:p>
      <w:pPr>
        <w:adjustRightInd w:val="0"/>
        <w:snapToGrid w:val="0"/>
        <w:ind w:firstLine="510"/>
        <w:rPr>
          <w:rFonts w:hint="eastAsia" w:ascii="方正仿宋_GBK" w:eastAsia="方正仿宋_GBK" w:cs="仿宋_GB2312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十四、申报书的内容和填报要求，由</w:t>
      </w:r>
      <w:r>
        <w:rPr>
          <w:rFonts w:hint="eastAsia" w:ascii="方正仿宋_GBK" w:eastAsia="方正仿宋_GBK" w:cs="仿宋_GB2312"/>
          <w:sz w:val="30"/>
          <w:szCs w:val="30"/>
          <w:lang w:eastAsia="zh-CN"/>
        </w:rPr>
        <w:t>广东省林业局</w:t>
      </w:r>
      <w:r>
        <w:rPr>
          <w:rFonts w:hint="eastAsia" w:ascii="方正仿宋_GBK" w:eastAsia="方正仿宋_GBK" w:cs="仿宋_GB2312"/>
          <w:sz w:val="30"/>
          <w:szCs w:val="30"/>
        </w:rPr>
        <w:t>负责解释。</w:t>
      </w: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仿宋_GBK" w:eastAsia="方正仿宋_GBK" w:cs="仿宋_GB2312"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1  基本情况表</w:t>
      </w:r>
    </w:p>
    <w:tbl>
      <w:tblPr>
        <w:tblStyle w:val="15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59"/>
        <w:gridCol w:w="114"/>
        <w:gridCol w:w="1041"/>
        <w:gridCol w:w="813"/>
        <w:gridCol w:w="228"/>
        <w:gridCol w:w="1024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种质资源库名称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主要保护对象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地理位置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地理坐标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规模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（公顷）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总面积</w:t>
            </w: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核心区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附属区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土地</w:t>
            </w:r>
            <w:r>
              <w:rPr>
                <w:rFonts w:hint="eastAsia" w:ascii="方正仿宋_GBK" w:eastAsia="方正仿宋_GBK" w:cs="仿宋_GB2312"/>
                <w:sz w:val="24"/>
                <w:lang w:val="en-US" w:eastAsia="zh-CN"/>
              </w:rPr>
              <w:t>类别、</w:t>
            </w:r>
            <w:r>
              <w:rPr>
                <w:rFonts w:hint="eastAsia" w:ascii="方正仿宋_GBK" w:eastAsia="方正仿宋_GBK" w:cs="仿宋_GB2312"/>
                <w:sz w:val="24"/>
              </w:rPr>
              <w:t>权属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和使用权情况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  <w:lang w:eastAsia="zh-CN"/>
              </w:rPr>
              <w:t>是否</w:t>
            </w:r>
            <w:r>
              <w:rPr>
                <w:rFonts w:hint="eastAsia" w:ascii="方正仿宋_GBK" w:eastAsia="方正仿宋_GBK" w:cs="仿宋_GB2312"/>
                <w:sz w:val="24"/>
              </w:rPr>
              <w:t>符合耕地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保护规定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始建时间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和级别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批准机关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和文号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现级别和批准时间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批准机关</w:t>
            </w:r>
          </w:p>
          <w:p>
            <w:pPr>
              <w:spacing w:line="32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和文号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名称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主管部门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编制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现有管理人员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现有科技人员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技术依托单位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种质资源库保存方式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林木种质资源库的认定与命名情况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固定经费来源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和数额（万元）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自养能力情况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基础设施、资源收集、保护及研究概况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自然环境概况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主要保护对象概况</w:t>
            </w:r>
          </w:p>
          <w:p>
            <w:pPr>
              <w:rPr>
                <w:rFonts w:hint="eastAsia" w:ascii="方正仿宋_GBK" w:eastAsia="方正仿宋_GBK" w:cs="仿宋_GB2312"/>
                <w:sz w:val="24"/>
              </w:rPr>
            </w:pPr>
          </w:p>
          <w:p>
            <w:pPr>
              <w:rPr>
                <w:rFonts w:hint="eastAsia"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周围地区社会经济状况简介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建立林木种质资源库的综合价值</w:t>
            </w:r>
          </w:p>
        </w:tc>
      </w:tr>
    </w:tbl>
    <w:p>
      <w:pPr>
        <w:rPr>
          <w:rFonts w:ascii="方正仿宋_GBK" w:eastAsia="方正仿宋_GBK" w:cs="仿宋_GB2312"/>
          <w:sz w:val="24"/>
        </w:rPr>
      </w:pPr>
      <w:r>
        <w:rPr>
          <w:rFonts w:hint="eastAsia" w:ascii="方正仿宋_GBK" w:eastAsia="方正仿宋_GBK" w:cs="仿宋_GB2312"/>
          <w:sz w:val="24"/>
        </w:rPr>
        <w:t>注：此表所列分栏不够填写可另加附页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2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种质资源库保存种质资源目录</w:t>
      </w: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50"/>
        <w:gridCol w:w="2098"/>
        <w:gridCol w:w="1871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种质名称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种名（拉丁名）</w:t>
            </w: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tabs>
                <w:tab w:val="left" w:pos="2063"/>
              </w:tabs>
              <w:ind w:firstLine="140" w:firstLineChars="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种质类型</w:t>
            </w: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tabs>
                <w:tab w:val="left" w:pos="2063"/>
              </w:tabs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保存数量（株）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方正仿宋_GBK" w:eastAsia="方正仿宋_GBK"/>
          <w:sz w:val="30"/>
          <w:szCs w:val="30"/>
        </w:rPr>
      </w:pPr>
    </w:p>
    <w:p>
      <w:pPr>
        <w:spacing w:line="36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注：1</w:t>
      </w:r>
      <w:r>
        <w:rPr>
          <w:rFonts w:hint="eastAsia" w:ascii="方正仿宋_GBK" w:eastAsia="方正仿宋_GBK"/>
          <w:sz w:val="24"/>
          <w:lang w:val="en-US" w:eastAsia="zh-CN"/>
        </w:rPr>
        <w:t>.</w:t>
      </w:r>
      <w:r>
        <w:rPr>
          <w:rFonts w:hint="eastAsia" w:ascii="方正仿宋_GBK" w:eastAsia="方正仿宋_GBK"/>
          <w:sz w:val="24"/>
        </w:rPr>
        <w:t>异地保存库需填写此表，原地保存库不需要填写。</w:t>
      </w:r>
    </w:p>
    <w:p>
      <w:pPr>
        <w:spacing w:line="3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</w:t>
      </w:r>
      <w:r>
        <w:rPr>
          <w:rFonts w:hint="eastAsia" w:ascii="方正仿宋_GBK" w:eastAsia="方正仿宋_GBK"/>
          <w:sz w:val="24"/>
          <w:lang w:val="en-US" w:eastAsia="zh-CN"/>
        </w:rPr>
        <w:t>.</w:t>
      </w:r>
      <w:r>
        <w:rPr>
          <w:rFonts w:hint="eastAsia" w:ascii="方正仿宋_GBK" w:eastAsia="方正仿宋_GBK"/>
          <w:sz w:val="24"/>
        </w:rPr>
        <w:t>种质类型填写种源、家系、无性系或品种。</w:t>
      </w:r>
    </w:p>
    <w:p>
      <w:pPr>
        <w:spacing w:line="3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</w:t>
      </w:r>
      <w:r>
        <w:rPr>
          <w:rFonts w:hint="eastAsia" w:ascii="方正仿宋_GBK" w:eastAsia="方正仿宋_GBK"/>
          <w:sz w:val="24"/>
          <w:lang w:val="en-US" w:eastAsia="zh-CN"/>
        </w:rPr>
        <w:t>.</w:t>
      </w:r>
      <w:r>
        <w:rPr>
          <w:rFonts w:hint="eastAsia" w:ascii="方正仿宋_GBK" w:eastAsia="方正仿宋_GBK"/>
          <w:sz w:val="24"/>
        </w:rPr>
        <w:t>此表可另加附页。</w:t>
      </w:r>
    </w:p>
    <w:p>
      <w:pPr>
        <w:ind w:firstLine="120" w:firstLineChars="50"/>
        <w:rPr>
          <w:rFonts w:ascii="方正仿宋_GBK" w:eastAsia="方正仿宋_GBK" w:cs="仿宋_GB2312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240" w:right="1800" w:bottom="1318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3  种质资源汇总表</w:t>
      </w:r>
    </w:p>
    <w:p/>
    <w:p/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5"/>
        <w:gridCol w:w="1495"/>
        <w:gridCol w:w="259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保存树种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保存份数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（份）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保存面积（核心区面积）（公顷）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</w:pPr>
    </w:p>
    <w:p>
      <w:pPr>
        <w:spacing w:line="400" w:lineRule="exact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注：1</w:t>
      </w:r>
      <w:r>
        <w:rPr>
          <w:rFonts w:hint="eastAsia" w:ascii="方正仿宋_GBK" w:eastAsia="方正仿宋_GBK"/>
          <w:sz w:val="24"/>
          <w:lang w:val="en-US" w:eastAsia="zh-CN"/>
        </w:rPr>
        <w:t>.</w:t>
      </w:r>
      <w:r>
        <w:rPr>
          <w:rFonts w:hint="eastAsia" w:ascii="方正仿宋_GBK" w:eastAsia="方正仿宋_GBK"/>
          <w:sz w:val="24"/>
        </w:rPr>
        <w:t>同一林木种质资源库保存多个树种的，保存树种、保存份数、保存面积</w:t>
      </w:r>
    </w:p>
    <w:p>
      <w:pPr>
        <w:spacing w:line="400" w:lineRule="exact"/>
        <w:ind w:firstLine="720" w:firstLineChars="3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要分别填写。</w:t>
      </w:r>
    </w:p>
    <w:p>
      <w:pPr>
        <w:spacing w:line="40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</w:t>
      </w:r>
      <w:r>
        <w:rPr>
          <w:rFonts w:hint="eastAsia" w:ascii="方正仿宋_GBK" w:eastAsia="方正仿宋_GBK"/>
          <w:sz w:val="24"/>
          <w:lang w:val="en-US" w:eastAsia="zh-CN"/>
        </w:rPr>
        <w:t>.</w:t>
      </w:r>
      <w:r>
        <w:rPr>
          <w:rFonts w:hint="eastAsia" w:ascii="方正仿宋_GBK" w:eastAsia="方正仿宋_GBK"/>
          <w:sz w:val="24"/>
        </w:rPr>
        <w:t>类型填写原地保存库或异地保存库。</w:t>
      </w:r>
    </w:p>
    <w:p>
      <w:pPr>
        <w:rPr>
          <w:rFonts w:ascii="仿宋_GB2312" w:eastAsia="仿宋_GB2312"/>
          <w:sz w:val="32"/>
          <w:szCs w:val="32"/>
        </w:rPr>
      </w:pPr>
    </w:p>
    <w:p/>
    <w:p>
      <w:pPr>
        <w:ind w:firstLine="645"/>
        <w:rPr>
          <w:rFonts w:ascii="方正仿宋_GBK" w:eastAsia="方正仿宋_GBK"/>
          <w:spacing w:val="6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方正书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4BDF1816"/>
    <w:rsid w:val="FFAC5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paragraph" w:styleId="14">
    <w:name w:val="annotation subject"/>
    <w:basedOn w:val="5"/>
    <w:next w:val="5"/>
    <w:qFormat/>
    <w:uiPriority w:val="0"/>
    <w:rPr>
      <w:b/>
      <w:bCs/>
    </w:rPr>
  </w:style>
  <w:style w:type="character" w:styleId="17">
    <w:name w:val="annotation reference"/>
    <w:basedOn w:val="1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神州网信技术有限公司</Company>
  <Pages>8</Pages>
  <Words>1070</Words>
  <Characters>1071</Characters>
  <Lines>266</Lines>
  <Paragraphs>100</Paragraphs>
  <TotalTime>14115554</TotalTime>
  <ScaleCrop>false</ScaleCrop>
  <LinksUpToDate>false</LinksUpToDate>
  <CharactersWithSpaces>1444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2020-10-19T09:00:00Z</dcterms:created>
  <dc:creator>lee</dc:creator>
  <cp:lastModifiedBy>孔凡启</cp:lastModifiedBy>
  <cp:lastPrinted>2020-09-29T12:19:00Z</cp:lastPrinted>
  <dcterms:modified xsi:type="dcterms:W3CDTF">2024-04-01T16:32:05Z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1828C07C7C50DD48A0620A665C67196B</vt:lpwstr>
  </property>
</Properties>
</file>