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A9409" w14:textId="77777777" w:rsidR="00395ED7" w:rsidRDefault="00000000">
      <w:pPr>
        <w:spacing w:line="240" w:lineRule="auto"/>
        <w:jc w:val="center"/>
        <w:rPr>
          <w:rFonts w:ascii="黑体" w:eastAsia="黑体" w:hAnsi="黑体" w:cs="黑体" w:hint="eastAsia"/>
          <w:b/>
          <w:bCs/>
          <w:sz w:val="44"/>
          <w:szCs w:val="44"/>
        </w:rPr>
      </w:pPr>
      <w:r>
        <w:rPr>
          <w:rFonts w:ascii="黑体" w:eastAsia="黑体" w:hAnsi="黑体" w:cs="黑体" w:hint="eastAsia"/>
          <w:b/>
          <w:bCs/>
          <w:sz w:val="44"/>
          <w:szCs w:val="44"/>
        </w:rPr>
        <w:t>广东省地方标准</w:t>
      </w:r>
    </w:p>
    <w:p w14:paraId="066DDD7D" w14:textId="77777777" w:rsidR="00395ED7" w:rsidRDefault="00000000">
      <w:pPr>
        <w:spacing w:line="240" w:lineRule="auto"/>
        <w:jc w:val="center"/>
        <w:rPr>
          <w:rFonts w:ascii="黑体" w:eastAsia="黑体" w:hAnsi="黑体" w:cs="黑体" w:hint="eastAsia"/>
          <w:b/>
          <w:bCs/>
          <w:sz w:val="44"/>
          <w:szCs w:val="44"/>
        </w:rPr>
      </w:pPr>
      <w:r>
        <w:rPr>
          <w:rFonts w:ascii="黑体" w:eastAsia="黑体" w:hAnsi="黑体" w:cs="黑体" w:hint="eastAsia"/>
          <w:b/>
          <w:bCs/>
          <w:sz w:val="44"/>
          <w:szCs w:val="44"/>
        </w:rPr>
        <w:t>《木麻黄抗青枯病新品种选育技术规程》</w:t>
      </w:r>
    </w:p>
    <w:p w14:paraId="3FD6AB13" w14:textId="77777777" w:rsidR="00395ED7" w:rsidRDefault="00000000">
      <w:pPr>
        <w:spacing w:line="240" w:lineRule="auto"/>
        <w:jc w:val="center"/>
        <w:rPr>
          <w:rFonts w:ascii="黑体" w:eastAsia="黑体" w:hAnsi="黑体" w:cs="黑体" w:hint="eastAsia"/>
          <w:b/>
          <w:bCs/>
          <w:color w:val="000000" w:themeColor="text1"/>
          <w:sz w:val="44"/>
          <w:szCs w:val="44"/>
        </w:rPr>
      </w:pPr>
      <w:r>
        <w:rPr>
          <w:rFonts w:ascii="黑体" w:eastAsia="黑体" w:hAnsi="黑体" w:cs="黑体" w:hint="eastAsia"/>
          <w:b/>
          <w:bCs/>
          <w:sz w:val="44"/>
          <w:szCs w:val="44"/>
        </w:rPr>
        <w:t>（征求意见稿）编制说明</w:t>
      </w:r>
    </w:p>
    <w:p w14:paraId="296DC741" w14:textId="77777777" w:rsidR="00395ED7" w:rsidRDefault="00395ED7">
      <w:pPr>
        <w:spacing w:line="500" w:lineRule="exact"/>
        <w:rPr>
          <w:rFonts w:eastAsia="仿宋_GB2312"/>
          <w:color w:val="000000" w:themeColor="text1"/>
          <w:sz w:val="24"/>
        </w:rPr>
      </w:pPr>
    </w:p>
    <w:p w14:paraId="7381C9CC" w14:textId="77777777" w:rsidR="00395ED7" w:rsidRDefault="00000000">
      <w:pPr>
        <w:pStyle w:val="1"/>
        <w:spacing w:beforeLines="100" w:before="240" w:afterLines="100" w:after="240" w:line="320" w:lineRule="exact"/>
        <w:rPr>
          <w:rFonts w:ascii="仿宋" w:eastAsia="仿宋" w:hAnsi="仿宋" w:cs="仿宋" w:hint="eastAsia"/>
          <w:b w:val="0"/>
          <w:bCs/>
          <w:sz w:val="28"/>
          <w:szCs w:val="28"/>
        </w:rPr>
      </w:pPr>
      <w:bookmarkStart w:id="0" w:name="_Toc49456966"/>
      <w:r>
        <w:rPr>
          <w:rFonts w:ascii="黑体" w:eastAsia="黑体" w:hAnsi="黑体" w:cs="黑体" w:hint="eastAsia"/>
          <w:b w:val="0"/>
          <w:bCs/>
          <w:sz w:val="32"/>
          <w:szCs w:val="32"/>
        </w:rPr>
        <w:t>一、</w:t>
      </w:r>
      <w:r>
        <w:rPr>
          <w:rFonts w:ascii="黑体" w:eastAsia="黑体" w:hAnsi="黑体" w:cs="黑体" w:hint="eastAsia"/>
          <w:sz w:val="32"/>
          <w:szCs w:val="32"/>
        </w:rPr>
        <w:t>工作简况。</w:t>
      </w:r>
      <w:r>
        <w:rPr>
          <w:rFonts w:ascii="仿宋" w:eastAsia="仿宋" w:hAnsi="仿宋" w:cs="仿宋" w:hint="eastAsia"/>
          <w:b w:val="0"/>
          <w:bCs/>
          <w:sz w:val="28"/>
          <w:szCs w:val="28"/>
        </w:rPr>
        <w:t>包括任务来源（立项文件），协作单位、分工等。</w:t>
      </w:r>
    </w:p>
    <w:p w14:paraId="5527985C" w14:textId="77777777" w:rsidR="00395ED7" w:rsidRDefault="00000000">
      <w:pPr>
        <w:spacing w:line="360" w:lineRule="auto"/>
        <w:rPr>
          <w:rFonts w:ascii="黑体" w:eastAsia="黑体" w:hAnsi="黑体" w:cs="黑体" w:hint="eastAsia"/>
          <w:sz w:val="28"/>
          <w:szCs w:val="28"/>
        </w:rPr>
      </w:pPr>
      <w:r>
        <w:rPr>
          <w:rFonts w:ascii="黑体" w:eastAsia="黑体" w:hAnsi="黑体" w:cs="黑体" w:hint="eastAsia"/>
          <w:sz w:val="28"/>
          <w:szCs w:val="28"/>
        </w:rPr>
        <w:t>1、任务来源</w:t>
      </w:r>
    </w:p>
    <w:p w14:paraId="6B0CE7FF" w14:textId="77777777" w:rsidR="00395ED7" w:rsidRDefault="00000000">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地方标准项目《</w:t>
      </w:r>
      <w:bookmarkStart w:id="1" w:name="OLE_LINK1"/>
      <w:r>
        <w:rPr>
          <w:rFonts w:ascii="仿宋" w:eastAsia="仿宋" w:hAnsi="仿宋" w:cs="仿宋" w:hint="eastAsia"/>
          <w:color w:val="000000" w:themeColor="text1"/>
          <w:sz w:val="28"/>
          <w:szCs w:val="28"/>
        </w:rPr>
        <w:t>木麻黄抗青枯病新品种选育技术规程</w:t>
      </w:r>
      <w:bookmarkEnd w:id="1"/>
      <w:r>
        <w:rPr>
          <w:rFonts w:ascii="仿宋" w:eastAsia="仿宋" w:hAnsi="仿宋" w:cs="仿宋" w:hint="eastAsia"/>
          <w:color w:val="000000" w:themeColor="text1"/>
          <w:sz w:val="28"/>
          <w:szCs w:val="28"/>
        </w:rPr>
        <w:t>》是根据《广东省市场监督管理局关于批准下达2020年第二批广东省地方标准制修订计划项目的通知》（</w:t>
      </w:r>
      <w:proofErr w:type="gramStart"/>
      <w:r>
        <w:rPr>
          <w:rFonts w:ascii="仿宋" w:eastAsia="仿宋" w:hAnsi="仿宋" w:cs="仿宋" w:hint="eastAsia"/>
          <w:color w:val="000000" w:themeColor="text1"/>
          <w:sz w:val="28"/>
          <w:szCs w:val="28"/>
        </w:rPr>
        <w:t>粤市监标准</w:t>
      </w:r>
      <w:proofErr w:type="gramEnd"/>
      <w:r>
        <w:rPr>
          <w:rFonts w:ascii="仿宋" w:eastAsia="仿宋" w:hAnsi="仿宋" w:cs="仿宋" w:hint="eastAsia"/>
          <w:color w:val="000000" w:themeColor="text1"/>
          <w:sz w:val="28"/>
          <w:szCs w:val="28"/>
        </w:rPr>
        <w:t>[2021]25号）的要求进行编制的。 下达任务名称为《木麻黄抗青枯病新品种选育技术规程》。</w:t>
      </w:r>
    </w:p>
    <w:p w14:paraId="692D1506" w14:textId="77777777" w:rsidR="00395ED7" w:rsidRDefault="00000000">
      <w:pPr>
        <w:pStyle w:val="1"/>
        <w:spacing w:beforeLines="100" w:before="240" w:afterLines="100" w:after="240" w:line="320" w:lineRule="exact"/>
        <w:rPr>
          <w:rFonts w:ascii="黑体" w:eastAsia="黑体" w:hAnsi="黑体" w:cs="黑体" w:hint="eastAsia"/>
          <w:b w:val="0"/>
          <w:bCs/>
          <w:sz w:val="28"/>
          <w:szCs w:val="28"/>
        </w:rPr>
      </w:pPr>
      <w:r>
        <w:rPr>
          <w:rFonts w:ascii="黑体" w:eastAsia="黑体" w:hAnsi="黑体" w:cs="黑体" w:hint="eastAsia"/>
          <w:b w:val="0"/>
          <w:bCs/>
          <w:sz w:val="28"/>
          <w:szCs w:val="28"/>
        </w:rPr>
        <w:t>2、协作单位与分工</w:t>
      </w:r>
    </w:p>
    <w:p w14:paraId="018C7CE5" w14:textId="6BF0F202" w:rsidR="00395ED7" w:rsidRDefault="00000000">
      <w:pPr>
        <w:spacing w:line="360" w:lineRule="auto"/>
        <w:ind w:firstLine="420"/>
      </w:pPr>
      <w:r>
        <w:rPr>
          <w:rFonts w:ascii="仿宋" w:eastAsia="仿宋" w:hAnsi="仿宋" w:cs="仿宋" w:hint="eastAsia"/>
          <w:sz w:val="28"/>
          <w:szCs w:val="28"/>
        </w:rPr>
        <w:t>本标准由广东省林业局提出并组织实施，由中国林业科学研究院热带林业研究所单独承担野外调查、信息收集、标准起草、征求意见等工作。</w:t>
      </w:r>
    </w:p>
    <w:p w14:paraId="05A01E62" w14:textId="77777777" w:rsidR="00395ED7" w:rsidRDefault="00000000">
      <w:pPr>
        <w:pStyle w:val="1"/>
        <w:spacing w:beforeLines="100" w:before="240" w:afterLines="100" w:after="240" w:line="320" w:lineRule="exact"/>
        <w:rPr>
          <w:rFonts w:ascii="黑体" w:eastAsia="黑体" w:hAnsi="黑体" w:cs="黑体" w:hint="eastAsia"/>
          <w:sz w:val="30"/>
          <w:szCs w:val="30"/>
        </w:rPr>
      </w:pPr>
      <w:r>
        <w:rPr>
          <w:rFonts w:ascii="黑体" w:eastAsia="黑体" w:hAnsi="黑体" w:cs="黑体" w:hint="eastAsia"/>
          <w:sz w:val="30"/>
          <w:szCs w:val="30"/>
        </w:rPr>
        <w:t>二、立项的必要性</w:t>
      </w:r>
    </w:p>
    <w:p w14:paraId="6ABA4A20" w14:textId="77777777" w:rsidR="00395ED7" w:rsidRDefault="00000000">
      <w:pPr>
        <w:spacing w:line="360" w:lineRule="auto"/>
        <w:ind w:firstLineChars="200" w:firstLine="560"/>
        <w:rPr>
          <w:rFonts w:eastAsia="仿宋"/>
          <w:color w:val="000000" w:themeColor="text1"/>
          <w:sz w:val="28"/>
          <w:szCs w:val="28"/>
        </w:rPr>
      </w:pPr>
      <w:r>
        <w:rPr>
          <w:rFonts w:eastAsia="仿宋"/>
          <w:color w:val="000000" w:themeColor="text1"/>
          <w:sz w:val="28"/>
          <w:szCs w:val="28"/>
        </w:rPr>
        <w:t>木麻黄（</w:t>
      </w:r>
      <w:r>
        <w:rPr>
          <w:rFonts w:eastAsia="仿宋"/>
          <w:i/>
          <w:iCs/>
          <w:color w:val="000000" w:themeColor="text1"/>
          <w:sz w:val="28"/>
          <w:szCs w:val="28"/>
        </w:rPr>
        <w:t xml:space="preserve">Casuarina </w:t>
      </w:r>
      <w:proofErr w:type="spellStart"/>
      <w:r>
        <w:rPr>
          <w:rFonts w:eastAsia="仿宋"/>
          <w:i/>
          <w:iCs/>
          <w:color w:val="000000" w:themeColor="text1"/>
          <w:sz w:val="28"/>
          <w:szCs w:val="28"/>
        </w:rPr>
        <w:t>equisetifolia</w:t>
      </w:r>
      <w:proofErr w:type="spellEnd"/>
      <w:r>
        <w:rPr>
          <w:rFonts w:eastAsia="仿宋"/>
          <w:color w:val="000000" w:themeColor="text1"/>
          <w:sz w:val="28"/>
          <w:szCs w:val="28"/>
        </w:rPr>
        <w:t>）是广东省沿海防护林的主要树种，在华南和东南沿海地区的防风固沙、防灾减灾、生态修复、水土保持等方面起到不可替代的作用。青枯病一直是我省木麻黄沿海防护林最大的威胁，特别是近二十年来，台风过后的青枯病大规模爆发对我省尤其是粤西地区的木麻黄沿海防护林造成了毁灭性的破坏，且呈现出逐渐向周边地区和省份蔓延的趋势。</w:t>
      </w:r>
    </w:p>
    <w:p w14:paraId="07BA9FA1" w14:textId="4D68F0D6" w:rsidR="00395ED7" w:rsidRDefault="00000000">
      <w:pPr>
        <w:spacing w:line="360" w:lineRule="auto"/>
        <w:ind w:firstLineChars="200" w:firstLine="560"/>
        <w:rPr>
          <w:rFonts w:eastAsia="仿宋"/>
          <w:color w:val="000000" w:themeColor="text1"/>
          <w:sz w:val="28"/>
          <w:szCs w:val="28"/>
        </w:rPr>
      </w:pPr>
      <w:r>
        <w:rPr>
          <w:rFonts w:eastAsia="仿宋"/>
          <w:color w:val="000000" w:themeColor="text1"/>
          <w:sz w:val="28"/>
          <w:szCs w:val="28"/>
        </w:rPr>
        <w:t>对于青枯病的防控，虽然采用一些营林措施可以缓解病情或降低</w:t>
      </w:r>
      <w:r>
        <w:rPr>
          <w:rFonts w:eastAsia="仿宋"/>
          <w:color w:val="000000" w:themeColor="text1"/>
          <w:sz w:val="28"/>
          <w:szCs w:val="28"/>
        </w:rPr>
        <w:lastRenderedPageBreak/>
        <w:t>蔓延速度，但选育出抗病品种进行推广应用再结合适当的营林措施才是彻底和可行的防治</w:t>
      </w:r>
      <w:r w:rsidR="00492D96">
        <w:rPr>
          <w:rFonts w:eastAsia="仿宋" w:hint="eastAsia"/>
          <w:color w:val="000000" w:themeColor="text1"/>
          <w:sz w:val="28"/>
          <w:szCs w:val="28"/>
        </w:rPr>
        <w:t>策略</w:t>
      </w:r>
      <w:r>
        <w:rPr>
          <w:rFonts w:eastAsia="仿宋"/>
          <w:color w:val="000000" w:themeColor="text1"/>
          <w:sz w:val="28"/>
          <w:szCs w:val="28"/>
        </w:rPr>
        <w:t>。鉴于木麻黄树种在华南沿海防护林中的重要性以及青枯病对木麻黄防护林的危害性，一些省级或地方的林业科研机构甚至生产单位都开展了木麻黄青枯病新品种的选育工作。但由于理论知识和技术条件所限，很多选育方法和测定程序都未符合或达到技术要求。因此，为木麻黄的抗青枯病新品种选育制订一套科学的和具有可操作性的技术标准，指导和规范木麻黄抗青枯病新品种的选育方法和程序，为解决我省青枯病对木麻黄防护林的危害，提高我省沿海防护林的生态防护效益具有重要意义。</w:t>
      </w:r>
    </w:p>
    <w:p w14:paraId="1D8A8A3B" w14:textId="77777777" w:rsidR="00395ED7" w:rsidRDefault="00000000">
      <w:pPr>
        <w:spacing w:line="360" w:lineRule="auto"/>
        <w:rPr>
          <w:rFonts w:ascii="仿宋" w:eastAsia="仿宋" w:hAnsi="仿宋" w:cs="仿宋" w:hint="eastAsia"/>
          <w:sz w:val="28"/>
          <w:szCs w:val="28"/>
        </w:rPr>
      </w:pPr>
      <w:bookmarkStart w:id="2" w:name="_Toc49456967"/>
      <w:bookmarkEnd w:id="0"/>
      <w:r>
        <w:rPr>
          <w:rFonts w:ascii="黑体" w:eastAsia="黑体" w:hAnsi="黑体" w:cs="黑体" w:hint="eastAsia"/>
          <w:bCs/>
          <w:sz w:val="30"/>
          <w:szCs w:val="30"/>
        </w:rPr>
        <w:t>三、标准编制原则</w:t>
      </w:r>
      <w:bookmarkEnd w:id="2"/>
      <w:r>
        <w:rPr>
          <w:rFonts w:ascii="黑体" w:eastAsia="黑体" w:hAnsi="黑体" w:cs="黑体" w:hint="eastAsia"/>
          <w:bCs/>
          <w:sz w:val="30"/>
          <w:szCs w:val="30"/>
        </w:rPr>
        <w:t>，</w:t>
      </w:r>
      <w:r>
        <w:rPr>
          <w:rFonts w:ascii="黑体" w:eastAsia="黑体" w:hAnsi="黑体" w:cs="黑体" w:hint="eastAsia"/>
          <w:sz w:val="30"/>
          <w:szCs w:val="30"/>
        </w:rPr>
        <w:t>标准框架、主要内容及其确定依据。</w:t>
      </w:r>
    </w:p>
    <w:p w14:paraId="66E5A963" w14:textId="77777777" w:rsidR="00395ED7" w:rsidRDefault="00000000">
      <w:pPr>
        <w:spacing w:line="360" w:lineRule="auto"/>
        <w:rPr>
          <w:rFonts w:ascii="仿宋" w:eastAsia="仿宋" w:hAnsi="仿宋" w:cs="仿宋" w:hint="eastAsia"/>
          <w:color w:val="000000" w:themeColor="text1"/>
          <w:sz w:val="28"/>
          <w:szCs w:val="28"/>
        </w:rPr>
      </w:pPr>
      <w:r>
        <w:rPr>
          <w:rFonts w:ascii="黑体" w:eastAsia="黑体" w:hAnsi="黑体" w:cs="黑体" w:hint="eastAsia"/>
          <w:sz w:val="28"/>
          <w:szCs w:val="28"/>
        </w:rPr>
        <w:t>1、编制原则</w:t>
      </w:r>
    </w:p>
    <w:p w14:paraId="13A01E66" w14:textId="77777777" w:rsidR="00395ED7" w:rsidRDefault="00000000">
      <w:pPr>
        <w:spacing w:line="360" w:lineRule="auto"/>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1）科学性原则</w:t>
      </w:r>
    </w:p>
    <w:p w14:paraId="00BAE3F5" w14:textId="77777777" w:rsidR="00395ED7" w:rsidRDefault="00000000">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以树种生物特性和生态特性规律为基础，技术性与经济性结合，标准的各项技术方法和指标等符合树木生长规律、植物染病后生理生化响应、试验设计与田间验证等理论，具有科学依据，能精准指导木麻黄的抗病性选育活动，达到最佳的选育效果。</w:t>
      </w:r>
    </w:p>
    <w:p w14:paraId="1CC7EAA0" w14:textId="77777777" w:rsidR="00395ED7" w:rsidRDefault="00000000">
      <w:pPr>
        <w:spacing w:line="360" w:lineRule="auto"/>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2）可操作性与实用性原则</w:t>
      </w:r>
    </w:p>
    <w:p w14:paraId="3C80AD94" w14:textId="77777777" w:rsidR="00395ED7" w:rsidRDefault="00000000">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木麻黄抗病材料收集、青枯病的收集扩繁和致病性检测、抗病材料的多层次选育与验证的技术方法和要求的指标依据可靠，且有较强的系统性和完整性，经过生产经营实践证明可行被广泛使用，被证明有效、实用、可操作性强。</w:t>
      </w:r>
    </w:p>
    <w:p w14:paraId="2F8FE79D" w14:textId="77777777" w:rsidR="00395ED7" w:rsidRDefault="00000000">
      <w:pPr>
        <w:spacing w:line="360" w:lineRule="auto"/>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3）坚持与相关标准、规程相衔接的原则。</w:t>
      </w:r>
    </w:p>
    <w:p w14:paraId="3EB52FED" w14:textId="77777777" w:rsidR="00395ED7" w:rsidRDefault="00000000">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本标准中的内容、技术方法和指标等，涉及相关标准的，确保与相关标准保持一致。</w:t>
      </w:r>
    </w:p>
    <w:p w14:paraId="47FC7249" w14:textId="77777777" w:rsidR="00395ED7" w:rsidRDefault="00000000">
      <w:pPr>
        <w:pStyle w:val="1"/>
        <w:spacing w:beforeLines="100" w:before="240" w:afterLines="100" w:after="240" w:line="320" w:lineRule="exact"/>
        <w:rPr>
          <w:rFonts w:ascii="黑体" w:eastAsia="黑体" w:hAnsi="黑体" w:cs="黑体" w:hint="eastAsia"/>
          <w:b w:val="0"/>
          <w:bCs/>
          <w:sz w:val="28"/>
          <w:szCs w:val="28"/>
        </w:rPr>
      </w:pPr>
      <w:r>
        <w:rPr>
          <w:rFonts w:ascii="黑体" w:eastAsia="黑体" w:hAnsi="黑体" w:cs="黑体" w:hint="eastAsia"/>
          <w:b w:val="0"/>
          <w:bCs/>
          <w:sz w:val="28"/>
          <w:szCs w:val="28"/>
        </w:rPr>
        <w:lastRenderedPageBreak/>
        <w:t>2、标准框架</w:t>
      </w:r>
    </w:p>
    <w:p w14:paraId="3AB93688" w14:textId="77777777" w:rsidR="00395ED7" w:rsidRDefault="00000000">
      <w:pPr>
        <w:spacing w:line="360" w:lineRule="auto"/>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 xml:space="preserve">    标准的框架严格按照《标准化工作导则第1部分：标准化文件的结构和起草规则》（GB/T 1.1-2020）和《中国标准编写模板TCS 2010（修正版）》进行编写，包括标准应用范围、规范性引用文件、术语和定义等固定提纲和其他木麻黄抗青枯病选育技术的具体内容。</w:t>
      </w:r>
    </w:p>
    <w:p w14:paraId="6E6DDB57" w14:textId="77777777" w:rsidR="00395ED7" w:rsidRDefault="00000000">
      <w:pPr>
        <w:spacing w:line="360" w:lineRule="auto"/>
        <w:rPr>
          <w:rFonts w:ascii="黑体" w:eastAsia="黑体" w:hAnsi="黑体" w:cs="黑体" w:hint="eastAsia"/>
          <w:bCs/>
          <w:sz w:val="28"/>
          <w:szCs w:val="28"/>
        </w:rPr>
      </w:pPr>
      <w:r>
        <w:rPr>
          <w:rFonts w:ascii="黑体" w:eastAsia="黑体" w:hAnsi="黑体" w:cs="黑体" w:hint="eastAsia"/>
          <w:bCs/>
          <w:sz w:val="28"/>
          <w:szCs w:val="28"/>
        </w:rPr>
        <w:t>3、主要内容及其确定依据</w:t>
      </w:r>
    </w:p>
    <w:p w14:paraId="078493F1" w14:textId="77777777" w:rsidR="00395ED7" w:rsidRDefault="00000000">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bCs/>
          <w:sz w:val="28"/>
          <w:szCs w:val="28"/>
        </w:rPr>
        <w:t>本标准的主要内容除了模板中固定的</w:t>
      </w:r>
      <w:r>
        <w:rPr>
          <w:rFonts w:ascii="仿宋" w:eastAsia="仿宋" w:hAnsi="仿宋" w:cs="仿宋" w:hint="eastAsia"/>
          <w:color w:val="000000" w:themeColor="text1"/>
          <w:sz w:val="28"/>
          <w:szCs w:val="28"/>
        </w:rPr>
        <w:t>应用范围、规范性引用文件、术语和定义等内容外，其他木麻黄抗青枯病新品种选育技术具体内容包括抗青枯病选育材料收集、青枯病的收集分离和致病性检测、抗病材料初选、抗病材料复选、田间测定和验证、抗病新品种的推广应用、档案管理等。</w:t>
      </w:r>
    </w:p>
    <w:p w14:paraId="042C376E" w14:textId="77777777" w:rsidR="00395ED7" w:rsidRDefault="00000000">
      <w:pPr>
        <w:spacing w:line="360" w:lineRule="auto"/>
        <w:ind w:firstLineChars="200" w:firstLine="5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主要内容的确定依据除了参考一些相同树种的行业和地方标准如《木麻黄栽培技术规程》（LY/T 3146-2019）、《木麻黄主要病虫害综合防治技术规程》（DB44/T 2414-2023）、《木麻黄青枯菌强致病性菌株筛选技术规程》（DB44/T 2346-2021）、《木麻黄育苗技术规程》（DB46/T 401-2016）外，也参考了农作物抗病选育鉴定的技术规范，如《椒疫病抗性鉴定技术规范》（DB22/T 2023-2014）、《小麦品种抗病性鉴定技术规范》（PSJG 1103.1</w:t>
      </w:r>
      <w:r>
        <w:rPr>
          <w:rFonts w:eastAsia="微软雅黑"/>
          <w:color w:val="000000" w:themeColor="text1"/>
          <w:sz w:val="28"/>
          <w:szCs w:val="28"/>
        </w:rPr>
        <w:t>～</w:t>
      </w:r>
      <w:r>
        <w:rPr>
          <w:rFonts w:ascii="仿宋" w:eastAsia="仿宋" w:hAnsi="仿宋" w:cs="仿宋" w:hint="eastAsia"/>
          <w:color w:val="000000" w:themeColor="text1"/>
          <w:sz w:val="28"/>
          <w:szCs w:val="28"/>
        </w:rPr>
        <w:t>1103.5-2009）、《农作物抗病性鉴定技术规范》（DB52/T 1501.1-2020）等。</w:t>
      </w:r>
    </w:p>
    <w:p w14:paraId="2F573740" w14:textId="77777777" w:rsidR="00395ED7" w:rsidRDefault="00000000">
      <w:pPr>
        <w:spacing w:line="360" w:lineRule="auto"/>
        <w:rPr>
          <w:rFonts w:ascii="黑体" w:eastAsia="黑体" w:hAnsi="黑体" w:cs="黑体" w:hint="eastAsia"/>
          <w:sz w:val="30"/>
          <w:szCs w:val="30"/>
        </w:rPr>
      </w:pPr>
      <w:r>
        <w:rPr>
          <w:rFonts w:ascii="黑体" w:eastAsia="黑体" w:hAnsi="黑体" w:cs="黑体" w:hint="eastAsia"/>
          <w:sz w:val="30"/>
          <w:szCs w:val="30"/>
        </w:rPr>
        <w:t>四、与现行法律法规、强制性标准等上位标准关系。</w:t>
      </w:r>
    </w:p>
    <w:p w14:paraId="3FEF663F" w14:textId="77777777" w:rsidR="00395ED7" w:rsidRDefault="00000000">
      <w:pPr>
        <w:spacing w:line="360" w:lineRule="auto"/>
        <w:ind w:firstLineChars="200" w:firstLine="560"/>
        <w:rPr>
          <w:rFonts w:ascii="黑体" w:eastAsia="黑体" w:hAnsi="黑体" w:cs="黑体" w:hint="eastAsia"/>
          <w:sz w:val="30"/>
          <w:szCs w:val="30"/>
        </w:rPr>
      </w:pPr>
      <w:r>
        <w:rPr>
          <w:rFonts w:ascii="仿宋" w:eastAsia="仿宋" w:hAnsi="仿宋" w:cs="仿宋" w:hint="eastAsia"/>
          <w:bCs/>
          <w:sz w:val="28"/>
          <w:szCs w:val="28"/>
        </w:rPr>
        <w:t>本标准符合国家相关法律、法规、规章及相关标准，无相关的现行强制性标准。</w:t>
      </w:r>
    </w:p>
    <w:p w14:paraId="5E324A1D" w14:textId="77777777" w:rsidR="00395ED7" w:rsidRDefault="00395ED7">
      <w:pPr>
        <w:spacing w:line="360" w:lineRule="auto"/>
        <w:rPr>
          <w:rFonts w:ascii="黑体" w:eastAsia="黑体" w:hAnsi="黑体" w:cs="黑体" w:hint="eastAsia"/>
          <w:sz w:val="30"/>
          <w:szCs w:val="30"/>
        </w:rPr>
      </w:pPr>
    </w:p>
    <w:p w14:paraId="4A522276" w14:textId="77777777" w:rsidR="00395ED7" w:rsidRDefault="00000000">
      <w:pPr>
        <w:pStyle w:val="1"/>
        <w:spacing w:beforeLines="100" w:before="240" w:afterLines="100" w:after="240" w:line="360" w:lineRule="auto"/>
        <w:rPr>
          <w:rFonts w:ascii="仿宋" w:eastAsia="仿宋" w:hAnsi="仿宋" w:cs="仿宋" w:hint="eastAsia"/>
          <w:b w:val="0"/>
          <w:bCs/>
          <w:sz w:val="28"/>
          <w:szCs w:val="28"/>
        </w:rPr>
      </w:pPr>
      <w:r>
        <w:rPr>
          <w:rFonts w:hint="eastAsia"/>
          <w:sz w:val="28"/>
          <w:szCs w:val="28"/>
        </w:rPr>
        <w:lastRenderedPageBreak/>
        <w:t xml:space="preserve"> </w:t>
      </w:r>
      <w:bookmarkStart w:id="3" w:name="_Toc49456969"/>
      <w:r>
        <w:rPr>
          <w:rFonts w:ascii="黑体" w:eastAsia="黑体" w:hAnsi="黑体" w:cs="黑体" w:hint="eastAsia"/>
          <w:b w:val="0"/>
          <w:bCs/>
          <w:sz w:val="30"/>
          <w:szCs w:val="30"/>
        </w:rPr>
        <w:t>五、标准有何先进性或特色性</w:t>
      </w:r>
    </w:p>
    <w:p w14:paraId="4C00E03C" w14:textId="77777777" w:rsidR="00395ED7"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 xml:space="preserve">    本标准是针对广东省木麻黄沿海防护林青枯病严重，许多</w:t>
      </w:r>
      <w:r>
        <w:rPr>
          <w:rFonts w:eastAsia="仿宋"/>
          <w:color w:val="000000" w:themeColor="text1"/>
          <w:sz w:val="28"/>
          <w:szCs w:val="28"/>
        </w:rPr>
        <w:t>林业科研机构开展了木麻黄青枯病新品种的选育工作</w:t>
      </w:r>
      <w:r>
        <w:rPr>
          <w:rFonts w:eastAsia="仿宋" w:hint="eastAsia"/>
          <w:color w:val="000000" w:themeColor="text1"/>
          <w:sz w:val="28"/>
          <w:szCs w:val="28"/>
        </w:rPr>
        <w:t>，</w:t>
      </w:r>
      <w:r>
        <w:rPr>
          <w:rFonts w:eastAsia="仿宋"/>
          <w:color w:val="000000" w:themeColor="text1"/>
          <w:sz w:val="28"/>
          <w:szCs w:val="28"/>
        </w:rPr>
        <w:t>但由于理论知识和技术条件所限，很多选育方法和测定程序都未符合或达到技术要求。因此，为木麻黄的抗青枯病新品种选育制订一套科学的和具有可操作性的技术标准，指导和规范木麻黄抗青枯病新品种的选育方法和程序</w:t>
      </w:r>
      <w:r>
        <w:rPr>
          <w:rFonts w:eastAsia="仿宋" w:hint="eastAsia"/>
          <w:color w:val="000000" w:themeColor="text1"/>
          <w:sz w:val="28"/>
          <w:szCs w:val="28"/>
        </w:rPr>
        <w:t>。本标准参考和借鉴了农作物</w:t>
      </w:r>
      <w:r>
        <w:rPr>
          <w:rFonts w:ascii="仿宋" w:eastAsia="仿宋" w:hAnsi="仿宋" w:cs="仿宋" w:hint="eastAsia"/>
          <w:color w:val="000000" w:themeColor="text1"/>
          <w:sz w:val="28"/>
          <w:szCs w:val="28"/>
        </w:rPr>
        <w:t>抗病选育鉴定的技术标准，同时根据木麻黄的生物学特性采用了一些更方便快捷的检测验证方法。</w:t>
      </w:r>
    </w:p>
    <w:p w14:paraId="58A72FB1" w14:textId="77777777" w:rsidR="00395ED7" w:rsidRDefault="00000000">
      <w:pPr>
        <w:pStyle w:val="1"/>
        <w:spacing w:beforeLines="100" w:before="240" w:afterLines="100" w:after="240" w:line="360" w:lineRule="auto"/>
        <w:rPr>
          <w:rFonts w:ascii="黑体" w:eastAsia="黑体" w:hAnsi="黑体" w:cs="黑体" w:hint="eastAsia"/>
          <w:b w:val="0"/>
          <w:bCs/>
          <w:sz w:val="30"/>
          <w:szCs w:val="30"/>
        </w:rPr>
      </w:pPr>
      <w:bookmarkStart w:id="4" w:name="_Toc49456970"/>
      <w:bookmarkEnd w:id="3"/>
      <w:r>
        <w:rPr>
          <w:rFonts w:ascii="黑体" w:eastAsia="黑体" w:hAnsi="黑体" w:cs="黑体" w:hint="eastAsia"/>
          <w:b w:val="0"/>
          <w:bCs/>
          <w:sz w:val="30"/>
          <w:szCs w:val="30"/>
        </w:rPr>
        <w:t>六、标准调研、研讨、征求意见情况</w:t>
      </w:r>
    </w:p>
    <w:p w14:paraId="20DD8799" w14:textId="77777777" w:rsidR="00395ED7" w:rsidRDefault="00000000">
      <w:pPr>
        <w:spacing w:line="360" w:lineRule="auto"/>
        <w:rPr>
          <w:rFonts w:ascii="仿宋" w:eastAsia="仿宋" w:hAnsi="仿宋" w:cs="仿宋" w:hint="eastAsia"/>
          <w:sz w:val="28"/>
          <w:szCs w:val="28"/>
        </w:rPr>
      </w:pPr>
      <w:r>
        <w:rPr>
          <w:rFonts w:ascii="仿宋" w:eastAsia="仿宋" w:hAnsi="仿宋" w:cs="仿宋" w:hint="eastAsia"/>
          <w:b/>
          <w:bCs/>
          <w:sz w:val="28"/>
          <w:szCs w:val="28"/>
        </w:rPr>
        <w:t>1、2021年3月，成立起草小组</w:t>
      </w:r>
      <w:r>
        <w:rPr>
          <w:rFonts w:ascii="仿宋" w:eastAsia="仿宋" w:hAnsi="仿宋" w:cs="仿宋" w:hint="eastAsia"/>
          <w:sz w:val="28"/>
          <w:szCs w:val="28"/>
        </w:rPr>
        <w:t>。制定标准编制方案、任务分工和进度安排表，成立标准起草小组。</w:t>
      </w:r>
    </w:p>
    <w:p w14:paraId="6DA7BA71" w14:textId="77777777" w:rsidR="00395ED7" w:rsidRDefault="00000000">
      <w:pPr>
        <w:spacing w:line="360" w:lineRule="auto"/>
        <w:rPr>
          <w:rFonts w:ascii="仿宋" w:eastAsia="仿宋" w:hAnsi="仿宋" w:cs="仿宋" w:hint="eastAsia"/>
          <w:sz w:val="28"/>
          <w:szCs w:val="28"/>
        </w:rPr>
      </w:pPr>
      <w:r>
        <w:rPr>
          <w:rFonts w:ascii="仿宋" w:eastAsia="仿宋" w:hAnsi="仿宋" w:cs="仿宋" w:hint="eastAsia"/>
          <w:b/>
          <w:bCs/>
          <w:sz w:val="28"/>
          <w:szCs w:val="28"/>
        </w:rPr>
        <w:t>2、2021年4-6月，材料收集与调研。</w:t>
      </w:r>
      <w:r>
        <w:rPr>
          <w:rFonts w:ascii="仿宋" w:eastAsia="仿宋" w:hAnsi="仿宋" w:cs="仿宋" w:hint="eastAsia"/>
          <w:sz w:val="28"/>
          <w:szCs w:val="28"/>
        </w:rPr>
        <w:t>收集和整理木麻黄树种和植物抗病性鉴定相关的行业与地方标准，结合国家及广东省的相关法律法规，并开展野外调查和相关生产单位的调研，初步确定本标准的框架。</w:t>
      </w:r>
    </w:p>
    <w:p w14:paraId="56A8744A" w14:textId="77777777" w:rsidR="00395ED7" w:rsidRDefault="00000000">
      <w:pPr>
        <w:spacing w:line="360" w:lineRule="auto"/>
        <w:rPr>
          <w:rFonts w:ascii="仿宋" w:eastAsia="仿宋" w:hAnsi="仿宋" w:cs="仿宋" w:hint="eastAsia"/>
          <w:sz w:val="28"/>
          <w:szCs w:val="28"/>
        </w:rPr>
      </w:pPr>
      <w:r>
        <w:rPr>
          <w:rFonts w:ascii="仿宋" w:eastAsia="仿宋" w:hAnsi="仿宋" w:cs="仿宋" w:hint="eastAsia"/>
          <w:b/>
          <w:bCs/>
          <w:sz w:val="28"/>
          <w:szCs w:val="28"/>
        </w:rPr>
        <w:t>3、2021年10月至2022年6月，标准起草。</w:t>
      </w:r>
      <w:r>
        <w:rPr>
          <w:rFonts w:ascii="仿宋" w:eastAsia="仿宋" w:hAnsi="仿宋" w:cs="仿宋" w:hint="eastAsia"/>
          <w:sz w:val="28"/>
          <w:szCs w:val="28"/>
        </w:rPr>
        <w:t>起草小组在标准框架和调研的基础上，开展标准起草工作，编制标准草案。</w:t>
      </w:r>
    </w:p>
    <w:p w14:paraId="178222D0" w14:textId="77777777" w:rsidR="00395ED7" w:rsidRDefault="00000000">
      <w:pPr>
        <w:spacing w:line="360" w:lineRule="auto"/>
        <w:rPr>
          <w:rFonts w:ascii="仿宋" w:eastAsia="仿宋" w:hAnsi="仿宋" w:cs="仿宋" w:hint="eastAsia"/>
          <w:sz w:val="28"/>
          <w:szCs w:val="28"/>
        </w:rPr>
      </w:pPr>
      <w:r>
        <w:rPr>
          <w:rFonts w:ascii="仿宋" w:eastAsia="仿宋" w:hAnsi="仿宋" w:cs="仿宋" w:hint="eastAsia"/>
          <w:b/>
          <w:bCs/>
          <w:sz w:val="28"/>
          <w:szCs w:val="28"/>
        </w:rPr>
        <w:t>4、2022年6-10月，标准草案讨论</w:t>
      </w:r>
      <w:r>
        <w:rPr>
          <w:rFonts w:ascii="仿宋" w:eastAsia="仿宋" w:hAnsi="仿宋" w:cs="仿宋" w:hint="eastAsia"/>
          <w:sz w:val="28"/>
          <w:szCs w:val="28"/>
        </w:rPr>
        <w:t>。起草小组就标准草案的内容通过召开座谈会、线上讨论等方式对标准草案进行初审，提出具体修改意见。</w:t>
      </w:r>
    </w:p>
    <w:p w14:paraId="767E3690" w14:textId="77777777" w:rsidR="00395ED7" w:rsidRDefault="00000000">
      <w:pPr>
        <w:spacing w:line="360" w:lineRule="auto"/>
        <w:rPr>
          <w:rFonts w:ascii="仿宋" w:eastAsia="仿宋" w:hAnsi="仿宋" w:cs="仿宋" w:hint="eastAsia"/>
          <w:sz w:val="28"/>
          <w:szCs w:val="28"/>
        </w:rPr>
      </w:pPr>
      <w:r>
        <w:rPr>
          <w:rFonts w:ascii="仿宋" w:eastAsia="仿宋" w:hAnsi="仿宋" w:cs="仿宋" w:hint="eastAsia"/>
          <w:b/>
          <w:bCs/>
          <w:sz w:val="28"/>
          <w:szCs w:val="28"/>
        </w:rPr>
        <w:t>5、2022年11-2023年6月，征求意见阶段。</w:t>
      </w:r>
      <w:r>
        <w:rPr>
          <w:rFonts w:ascii="仿宋" w:eastAsia="仿宋" w:hAnsi="仿宋" w:cs="仿宋" w:hint="eastAsia"/>
          <w:sz w:val="28"/>
          <w:szCs w:val="28"/>
        </w:rPr>
        <w:t>起草小组就标准草案的内容向包括林业教学、科研和</w:t>
      </w:r>
      <w:proofErr w:type="gramStart"/>
      <w:r>
        <w:rPr>
          <w:rFonts w:ascii="仿宋" w:eastAsia="仿宋" w:hAnsi="仿宋" w:cs="仿宋" w:hint="eastAsia"/>
          <w:sz w:val="28"/>
          <w:szCs w:val="28"/>
        </w:rPr>
        <w:t>生产共</w:t>
      </w:r>
      <w:proofErr w:type="gramEnd"/>
      <w:r>
        <w:rPr>
          <w:rFonts w:ascii="仿宋" w:eastAsia="仿宋" w:hAnsi="仿宋" w:cs="仿宋" w:hint="eastAsia"/>
          <w:sz w:val="28"/>
          <w:szCs w:val="28"/>
        </w:rPr>
        <w:t>37个单位的51名相关领域专家或科研技术人员发送“征求意见稿”进行了意见征求。收到“征求意</w:t>
      </w:r>
      <w:r>
        <w:rPr>
          <w:rFonts w:ascii="仿宋" w:eastAsia="仿宋" w:hAnsi="仿宋" w:cs="仿宋" w:hint="eastAsia"/>
          <w:sz w:val="28"/>
          <w:szCs w:val="28"/>
        </w:rPr>
        <w:lastRenderedPageBreak/>
        <w:t>见稿”后，回函的单位20个，没有回函的单位17个；回函的单位中，有意见或建议的单位7个，无意见的单位13个；回函的建议或意见数共有46条，其中31条被采纳，9条被部分采纳，6条不被采纳。</w:t>
      </w:r>
    </w:p>
    <w:p w14:paraId="63002A92" w14:textId="77777777" w:rsidR="00395ED7" w:rsidRDefault="00000000">
      <w:pPr>
        <w:spacing w:line="360" w:lineRule="auto"/>
        <w:rPr>
          <w:rFonts w:ascii="仿宋" w:eastAsia="仿宋" w:hAnsi="仿宋" w:cs="仿宋" w:hint="eastAsia"/>
          <w:sz w:val="28"/>
          <w:szCs w:val="28"/>
        </w:rPr>
      </w:pPr>
      <w:r>
        <w:rPr>
          <w:rFonts w:ascii="仿宋" w:eastAsia="仿宋" w:hAnsi="仿宋" w:cs="仿宋" w:hint="eastAsia"/>
          <w:b/>
          <w:bCs/>
          <w:sz w:val="28"/>
          <w:szCs w:val="28"/>
        </w:rPr>
        <w:t>6、2023年7月-2024年9月，完成标准草案修改稿。</w:t>
      </w:r>
      <w:r>
        <w:rPr>
          <w:rFonts w:ascii="仿宋" w:eastAsia="仿宋" w:hAnsi="仿宋" w:cs="仿宋" w:hint="eastAsia"/>
          <w:sz w:val="28"/>
          <w:szCs w:val="28"/>
        </w:rPr>
        <w:t>根据专家的征求意见，对标准草案进行了修改和补充，形成了标准征求意见稿，并完成了标准的编制说明。</w:t>
      </w:r>
    </w:p>
    <w:p w14:paraId="186E1169" w14:textId="77777777" w:rsidR="00395ED7" w:rsidRDefault="00000000">
      <w:pPr>
        <w:pStyle w:val="1"/>
        <w:spacing w:beforeLines="100" w:before="240" w:afterLines="100" w:after="240" w:line="320" w:lineRule="exact"/>
        <w:rPr>
          <w:rFonts w:ascii="仿宋" w:eastAsia="仿宋" w:hAnsi="仿宋" w:cs="仿宋" w:hint="eastAsia"/>
          <w:b w:val="0"/>
          <w:bCs/>
          <w:sz w:val="30"/>
          <w:szCs w:val="30"/>
        </w:rPr>
      </w:pPr>
      <w:bookmarkStart w:id="5" w:name="_Toc49456971"/>
      <w:bookmarkEnd w:id="4"/>
      <w:r>
        <w:rPr>
          <w:rFonts w:ascii="黑体" w:eastAsia="黑体" w:hAnsi="黑体" w:cs="黑体" w:hint="eastAsia"/>
          <w:b w:val="0"/>
          <w:bCs/>
          <w:sz w:val="30"/>
          <w:szCs w:val="30"/>
        </w:rPr>
        <w:t>七、技术指标设置的科学性和可行性</w:t>
      </w:r>
    </w:p>
    <w:p w14:paraId="519EB1F9" w14:textId="77777777" w:rsidR="00395E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本标准旨在为广东省木麻黄抗青枯病新品种选育技术提供一个科学和可行的规程，编写过程中充分借鉴了其他植物（如辣椒、小麦、水稻等）的抗病性鉴定标准，并结合木麻黄树种的生物学特性设置了切枝水培接种病菌和小苗伤根接种2种抗病材料筛选方法，保障了抗病材料筛选过程中的严谨性，确保了标准的科学性和可行性。</w:t>
      </w:r>
    </w:p>
    <w:p w14:paraId="501E8C93" w14:textId="77777777" w:rsidR="00395ED7" w:rsidRDefault="00000000">
      <w:pPr>
        <w:pStyle w:val="1"/>
        <w:spacing w:beforeLines="100" w:before="240" w:afterLines="100" w:after="240" w:line="360" w:lineRule="auto"/>
        <w:rPr>
          <w:rFonts w:ascii="仿宋" w:eastAsia="仿宋" w:hAnsi="仿宋" w:cs="仿宋" w:hint="eastAsia"/>
          <w:b w:val="0"/>
          <w:bCs/>
          <w:sz w:val="28"/>
          <w:szCs w:val="28"/>
        </w:rPr>
      </w:pPr>
      <w:r>
        <w:rPr>
          <w:rFonts w:ascii="黑体" w:eastAsia="黑体" w:hAnsi="黑体" w:cs="黑体" w:hint="eastAsia"/>
          <w:b w:val="0"/>
          <w:bCs/>
          <w:sz w:val="28"/>
          <w:szCs w:val="28"/>
        </w:rPr>
        <w:t>八、</w:t>
      </w:r>
      <w:r>
        <w:rPr>
          <w:rFonts w:ascii="黑体" w:eastAsia="黑体" w:hAnsi="黑体" w:cs="黑体" w:hint="eastAsia"/>
          <w:b w:val="0"/>
          <w:bCs/>
          <w:sz w:val="30"/>
          <w:szCs w:val="30"/>
        </w:rPr>
        <w:t>与国际、国家、行业、其他省同类标准技术内容的对比情况，或者与测试的国外样品、样机的有关数据对比情况</w:t>
      </w:r>
    </w:p>
    <w:p w14:paraId="3F03CB8E" w14:textId="77777777" w:rsidR="00395ED7" w:rsidRDefault="00000000">
      <w:pPr>
        <w:spacing w:line="360" w:lineRule="auto"/>
        <w:rPr>
          <w:rFonts w:ascii="仿宋" w:eastAsia="仿宋" w:hAnsi="仿宋" w:cs="仿宋" w:hint="eastAsia"/>
          <w:sz w:val="28"/>
          <w:szCs w:val="28"/>
        </w:rPr>
      </w:pPr>
      <w:r>
        <w:rPr>
          <w:rFonts w:ascii="仿宋" w:eastAsia="仿宋" w:hAnsi="仿宋" w:cs="仿宋" w:hint="eastAsia"/>
          <w:sz w:val="28"/>
          <w:szCs w:val="28"/>
        </w:rPr>
        <w:t xml:space="preserve">    目前，尚未有相关的国家或行业标准，植物抗病品种鉴定的标准也主要集中在农作物上，本标准参考了辣椒、小麦等农作物的抗病性鉴定地方标准，再针对木麻黄的生物学特性进行提炼和总结。</w:t>
      </w:r>
    </w:p>
    <w:bookmarkEnd w:id="5"/>
    <w:p w14:paraId="0FA4CC7F" w14:textId="77777777" w:rsidR="00395ED7" w:rsidRDefault="00000000">
      <w:pPr>
        <w:spacing w:line="360" w:lineRule="auto"/>
        <w:rPr>
          <w:rFonts w:ascii="黑体" w:eastAsia="黑体" w:hAnsi="黑体" w:cs="黑体" w:hint="eastAsia"/>
          <w:sz w:val="30"/>
          <w:szCs w:val="30"/>
        </w:rPr>
      </w:pPr>
      <w:r>
        <w:rPr>
          <w:rFonts w:ascii="黑体" w:eastAsia="黑体" w:hAnsi="黑体" w:cs="黑体" w:hint="eastAsia"/>
          <w:sz w:val="30"/>
          <w:szCs w:val="30"/>
        </w:rPr>
        <w:t>九、涉及专利的有关说明</w:t>
      </w:r>
    </w:p>
    <w:p w14:paraId="4045E9AC" w14:textId="77777777" w:rsidR="00395ED7" w:rsidRDefault="00000000">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本标准涉及的专利有1个，即“青枯</w:t>
      </w:r>
      <w:proofErr w:type="gramStart"/>
      <w:r>
        <w:rPr>
          <w:rFonts w:ascii="仿宋" w:eastAsia="仿宋" w:hAnsi="仿宋" w:cs="仿宋" w:hint="eastAsia"/>
          <w:sz w:val="28"/>
          <w:szCs w:val="28"/>
        </w:rPr>
        <w:t>菌</w:t>
      </w:r>
      <w:proofErr w:type="gramEnd"/>
      <w:r>
        <w:rPr>
          <w:rFonts w:ascii="仿宋" w:eastAsia="仿宋" w:hAnsi="仿宋" w:cs="仿宋" w:hint="eastAsia"/>
          <w:sz w:val="28"/>
          <w:szCs w:val="28"/>
        </w:rPr>
        <w:t>提取组合物、提取液和木麻黄中青枯菌的鉴别方法”（专利号：ZL 2021 1 0796251.5），该专利权人均是本标准的起草小组成员，专利中关于木麻黄青枯病菌的提取和鉴别方法被该标准引用，不涉及专利的侵权问题。</w:t>
      </w:r>
    </w:p>
    <w:p w14:paraId="553B9A88" w14:textId="146118B3" w:rsidR="00395ED7" w:rsidRDefault="00000000">
      <w:pPr>
        <w:spacing w:line="360" w:lineRule="auto"/>
        <w:rPr>
          <w:rFonts w:ascii="黑体" w:eastAsia="黑体" w:hAnsi="黑体" w:cs="黑体" w:hint="eastAsia"/>
          <w:sz w:val="30"/>
          <w:szCs w:val="30"/>
        </w:rPr>
      </w:pPr>
      <w:r>
        <w:rPr>
          <w:rFonts w:ascii="黑体" w:eastAsia="黑体" w:hAnsi="黑体" w:cs="黑体" w:hint="eastAsia"/>
          <w:sz w:val="30"/>
          <w:szCs w:val="30"/>
        </w:rPr>
        <w:lastRenderedPageBreak/>
        <w:t>十、标准名称变更应详细说明理由并单独拟文申请。</w:t>
      </w:r>
    </w:p>
    <w:p w14:paraId="6AA440CD" w14:textId="77777777" w:rsidR="00395ED7" w:rsidRDefault="00000000">
      <w:pPr>
        <w:snapToGrid w:val="0"/>
        <w:spacing w:line="360" w:lineRule="auto"/>
        <w:rPr>
          <w:rFonts w:asciiTheme="minorEastAsia" w:eastAsiaTheme="minorEastAsia" w:hAnsiTheme="minorEastAsia" w:hint="eastAsia"/>
          <w:color w:val="000000" w:themeColor="text1"/>
          <w:kern w:val="2"/>
          <w:sz w:val="28"/>
          <w:szCs w:val="28"/>
        </w:rPr>
      </w:pPr>
      <w:r>
        <w:rPr>
          <w:rFonts w:asciiTheme="minorEastAsia" w:eastAsiaTheme="minorEastAsia" w:hAnsiTheme="minorEastAsia" w:hint="eastAsia"/>
          <w:color w:val="000000" w:themeColor="text1"/>
          <w:kern w:val="2"/>
          <w:sz w:val="28"/>
          <w:szCs w:val="28"/>
        </w:rPr>
        <w:t xml:space="preserve">    无。</w:t>
      </w:r>
    </w:p>
    <w:p w14:paraId="3A56D9CE" w14:textId="77777777" w:rsidR="00395ED7" w:rsidRDefault="00000000">
      <w:pPr>
        <w:snapToGrid w:val="0"/>
        <w:spacing w:line="360" w:lineRule="auto"/>
        <w:rPr>
          <w:rFonts w:ascii="黑体" w:eastAsia="黑体" w:hAnsi="黑体" w:cs="黑体" w:hint="eastAsia"/>
          <w:sz w:val="30"/>
          <w:szCs w:val="30"/>
        </w:rPr>
      </w:pPr>
      <w:r>
        <w:rPr>
          <w:rFonts w:ascii="黑体" w:eastAsia="黑体" w:hAnsi="黑体" w:cs="黑体" w:hint="eastAsia"/>
          <w:sz w:val="30"/>
          <w:szCs w:val="30"/>
        </w:rPr>
        <w:t>十一、编制单位增减应予说明增减原因并单独拟文申请。</w:t>
      </w:r>
    </w:p>
    <w:p w14:paraId="30EE8BCE" w14:textId="77777777" w:rsidR="00395ED7" w:rsidRDefault="00000000">
      <w:pPr>
        <w:snapToGrid w:val="0"/>
        <w:spacing w:line="360" w:lineRule="auto"/>
        <w:rPr>
          <w:rFonts w:asciiTheme="minorEastAsia" w:eastAsiaTheme="minorEastAsia" w:hAnsiTheme="minorEastAsia" w:hint="eastAsia"/>
          <w:color w:val="000000" w:themeColor="text1"/>
          <w:kern w:val="2"/>
          <w:sz w:val="28"/>
          <w:szCs w:val="28"/>
        </w:rPr>
      </w:pPr>
      <w:r>
        <w:rPr>
          <w:rFonts w:ascii="黑体" w:eastAsia="黑体" w:hAnsi="黑体" w:cs="黑体" w:hint="eastAsia"/>
          <w:sz w:val="30"/>
          <w:szCs w:val="30"/>
        </w:rPr>
        <w:t xml:space="preserve">  </w:t>
      </w:r>
      <w:r>
        <w:rPr>
          <w:rFonts w:ascii="仿宋" w:eastAsia="仿宋" w:hAnsi="仿宋" w:cs="仿宋" w:hint="eastAsia"/>
          <w:sz w:val="28"/>
          <w:szCs w:val="28"/>
        </w:rPr>
        <w:t xml:space="preserve">  无。</w:t>
      </w:r>
    </w:p>
    <w:p w14:paraId="4A761AC1" w14:textId="6BFD4039" w:rsidR="00395ED7" w:rsidRDefault="00000000">
      <w:pPr>
        <w:spacing w:line="360" w:lineRule="auto"/>
        <w:rPr>
          <w:rFonts w:ascii="黑体" w:eastAsia="黑体" w:hAnsi="黑体" w:cs="黑体" w:hint="eastAsia"/>
          <w:sz w:val="30"/>
          <w:szCs w:val="30"/>
        </w:rPr>
      </w:pPr>
      <w:r>
        <w:rPr>
          <w:rFonts w:ascii="黑体" w:eastAsia="黑体" w:hAnsi="黑体" w:cs="黑体" w:hint="eastAsia"/>
          <w:sz w:val="30"/>
          <w:szCs w:val="30"/>
        </w:rPr>
        <w:t>十二、其他应当说明的事项。</w:t>
      </w:r>
    </w:p>
    <w:p w14:paraId="2FED2B71" w14:textId="77777777" w:rsidR="00395ED7" w:rsidRDefault="00000000">
      <w:pPr>
        <w:snapToGrid w:val="0"/>
        <w:spacing w:line="360" w:lineRule="auto"/>
        <w:rPr>
          <w:rFonts w:asciiTheme="minorEastAsia" w:eastAsiaTheme="minorEastAsia" w:hAnsiTheme="minorEastAsia" w:hint="eastAsia"/>
          <w:color w:val="000000" w:themeColor="text1"/>
          <w:kern w:val="2"/>
          <w:sz w:val="28"/>
          <w:szCs w:val="28"/>
        </w:rPr>
      </w:pPr>
      <w:r>
        <w:rPr>
          <w:rFonts w:asciiTheme="minorEastAsia" w:eastAsiaTheme="minorEastAsia" w:hAnsiTheme="minorEastAsia" w:hint="eastAsia"/>
          <w:color w:val="000000" w:themeColor="text1"/>
          <w:kern w:val="2"/>
          <w:sz w:val="28"/>
          <w:szCs w:val="28"/>
        </w:rPr>
        <w:t xml:space="preserve">     无。</w:t>
      </w:r>
    </w:p>
    <w:p w14:paraId="38A852E9" w14:textId="6D95C98F" w:rsidR="00395ED7" w:rsidRDefault="00000000">
      <w:pPr>
        <w:spacing w:line="360" w:lineRule="auto"/>
        <w:rPr>
          <w:rFonts w:ascii="仿宋" w:eastAsia="仿宋" w:hAnsi="仿宋" w:cs="仿宋" w:hint="eastAsia"/>
          <w:sz w:val="30"/>
          <w:szCs w:val="30"/>
        </w:rPr>
      </w:pPr>
      <w:bookmarkStart w:id="6" w:name="_Toc49456974"/>
      <w:r>
        <w:rPr>
          <w:rFonts w:ascii="黑体" w:eastAsia="黑体" w:hAnsi="黑体" w:cs="黑体" w:hint="eastAsia"/>
          <w:sz w:val="30"/>
          <w:szCs w:val="30"/>
        </w:rPr>
        <w:t>十三、贯彻地方标准的要求，以及组织措施、技术措施、过渡期和实施日期等建议</w:t>
      </w:r>
    </w:p>
    <w:p w14:paraId="2C818BB6" w14:textId="77777777" w:rsidR="00395ED7" w:rsidRDefault="00000000">
      <w:pPr>
        <w:snapToGrid w:val="0"/>
        <w:spacing w:line="360" w:lineRule="auto"/>
        <w:ind w:firstLineChars="202" w:firstLine="566"/>
        <w:rPr>
          <w:rFonts w:ascii="仿宋" w:eastAsia="仿宋" w:hAnsi="仿宋" w:cs="仿宋" w:hint="eastAsia"/>
          <w:color w:val="000000" w:themeColor="text1"/>
          <w:kern w:val="2"/>
          <w:sz w:val="28"/>
          <w:szCs w:val="28"/>
        </w:rPr>
      </w:pPr>
      <w:r>
        <w:rPr>
          <w:rFonts w:ascii="仿宋" w:eastAsia="仿宋" w:hAnsi="仿宋" w:cs="仿宋" w:hint="eastAsia"/>
          <w:color w:val="000000" w:themeColor="text1"/>
          <w:kern w:val="2"/>
          <w:sz w:val="28"/>
          <w:szCs w:val="28"/>
        </w:rPr>
        <w:t>为促进木麻黄抗病选育开展的标准化和规范化，提升沿海木麻黄防护林的林分质量和防护功能，在本标准得到批准和公布后，提出以下建议：1）充分利用互联网平台，向有关林业组织、生产经营部门便利化提供标准化信息。2）通过组织举办专门的培训班，有针对性地培训标准使用人员，提高标准使用效果。3）通过标准的实施，及时总结经验，全面完善标准相关条款的操作细则。</w:t>
      </w:r>
      <w:bookmarkEnd w:id="6"/>
    </w:p>
    <w:p w14:paraId="00D9A182" w14:textId="77777777" w:rsidR="00395ED7" w:rsidRDefault="00000000">
      <w:pPr>
        <w:snapToGrid w:val="0"/>
        <w:spacing w:line="360" w:lineRule="auto"/>
        <w:ind w:firstLineChars="202" w:firstLine="566"/>
        <w:rPr>
          <w:rFonts w:ascii="仿宋" w:eastAsia="仿宋" w:hAnsi="仿宋" w:cs="仿宋" w:hint="eastAsia"/>
          <w:color w:val="000000" w:themeColor="text1"/>
          <w:kern w:val="2"/>
          <w:sz w:val="28"/>
          <w:szCs w:val="28"/>
        </w:rPr>
      </w:pPr>
      <w:r>
        <w:rPr>
          <w:rFonts w:ascii="仿宋" w:eastAsia="仿宋" w:hAnsi="仿宋" w:cs="仿宋" w:hint="eastAsia"/>
          <w:color w:val="000000" w:themeColor="text1"/>
          <w:kern w:val="2"/>
          <w:sz w:val="28"/>
          <w:szCs w:val="28"/>
        </w:rPr>
        <w:t>本标准属于推荐性标准，无过渡期和实施日期等问题。</w:t>
      </w:r>
    </w:p>
    <w:p w14:paraId="3815AA48" w14:textId="77777777" w:rsidR="00395ED7" w:rsidRDefault="00395ED7">
      <w:pPr>
        <w:snapToGrid w:val="0"/>
        <w:spacing w:line="360" w:lineRule="auto"/>
        <w:ind w:leftChars="202" w:left="424"/>
        <w:rPr>
          <w:rFonts w:ascii="仿宋" w:eastAsia="仿宋" w:hAnsi="仿宋" w:cs="仿宋" w:hint="eastAsia"/>
          <w:color w:val="000000" w:themeColor="text1"/>
          <w:kern w:val="2"/>
          <w:sz w:val="28"/>
          <w:szCs w:val="28"/>
        </w:rPr>
      </w:pPr>
    </w:p>
    <w:sectPr w:rsidR="00395ED7">
      <w:footerReference w:type="default" r:id="rId6"/>
      <w:pgSz w:w="11906" w:h="16838"/>
      <w:pgMar w:top="1758" w:right="1758" w:bottom="1758" w:left="1758" w:header="851" w:footer="1418" w:gutter="0"/>
      <w:pgNumType w:start="1"/>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890B9" w14:textId="77777777" w:rsidR="00B7327F" w:rsidRDefault="00B7327F">
      <w:pPr>
        <w:spacing w:line="240" w:lineRule="auto"/>
      </w:pPr>
      <w:r>
        <w:separator/>
      </w:r>
    </w:p>
  </w:endnote>
  <w:endnote w:type="continuationSeparator" w:id="0">
    <w:p w14:paraId="7BE744CA" w14:textId="77777777" w:rsidR="00B7327F" w:rsidRDefault="00B732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6883" w14:textId="77777777" w:rsidR="00395ED7" w:rsidRDefault="00000000">
    <w:pPr>
      <w:pStyle w:val="ac"/>
      <w:framePr w:wrap="around" w:vAnchor="text" w:hAnchor="margin" w:xAlign="center" w:y="1"/>
      <w:jc w:val="center"/>
      <w:rPr>
        <w:rStyle w:val="af"/>
      </w:rPr>
    </w:pPr>
    <w:r>
      <w:rPr>
        <w:rStyle w:val="af"/>
      </w:rPr>
      <w:fldChar w:fldCharType="begin"/>
    </w:r>
    <w:r>
      <w:rPr>
        <w:rStyle w:val="af"/>
      </w:rPr>
      <w:instrText xml:space="preserve">PAGE  </w:instrText>
    </w:r>
    <w:r>
      <w:rPr>
        <w:rStyle w:val="af"/>
      </w:rPr>
      <w:fldChar w:fldCharType="separate"/>
    </w:r>
    <w:r>
      <w:rPr>
        <w:rStyle w:val="af"/>
      </w:rPr>
      <w:t>3</w:t>
    </w:r>
    <w:r>
      <w:rPr>
        <w:rStyle w:val="af"/>
      </w:rPr>
      <w:fldChar w:fldCharType="end"/>
    </w:r>
  </w:p>
  <w:p w14:paraId="12003652" w14:textId="77777777" w:rsidR="00395ED7" w:rsidRDefault="00395ED7">
    <w:pPr>
      <w:pStyle w:val="ac"/>
      <w:framePr w:wrap="around" w:vAnchor="text" w:hAnchor="margin" w:xAlign="center" w:y="1"/>
      <w:rPr>
        <w:rStyle w:val="af"/>
      </w:rPr>
    </w:pPr>
  </w:p>
  <w:p w14:paraId="2D30A6BB" w14:textId="77777777" w:rsidR="00395ED7" w:rsidRDefault="00395ED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35B2" w14:textId="77777777" w:rsidR="00B7327F" w:rsidRDefault="00B7327F">
      <w:pPr>
        <w:spacing w:line="240" w:lineRule="auto"/>
      </w:pPr>
      <w:r>
        <w:separator/>
      </w:r>
    </w:p>
  </w:footnote>
  <w:footnote w:type="continuationSeparator" w:id="0">
    <w:p w14:paraId="098FA16F" w14:textId="77777777" w:rsidR="00B7327F" w:rsidRDefault="00B732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doNotHyphenateCaps/>
  <w:drawingGridHorizontalSpacing w:val="105"/>
  <w:drawingGridVerticalSpacing w:val="285"/>
  <w:displayHorizontalDrawingGridEvery w:val="0"/>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hNGY5N2NlODFlNDY5N2ExNGUxOGZiYzUxMjI1ZTYifQ=="/>
  </w:docVars>
  <w:rsids>
    <w:rsidRoot w:val="0007697B"/>
    <w:rsid w:val="00002308"/>
    <w:rsid w:val="000026D1"/>
    <w:rsid w:val="00007F90"/>
    <w:rsid w:val="000236BE"/>
    <w:rsid w:val="00030D0B"/>
    <w:rsid w:val="0004771A"/>
    <w:rsid w:val="00052E76"/>
    <w:rsid w:val="0005428B"/>
    <w:rsid w:val="00065B27"/>
    <w:rsid w:val="00074008"/>
    <w:rsid w:val="00074294"/>
    <w:rsid w:val="00074A92"/>
    <w:rsid w:val="0007697B"/>
    <w:rsid w:val="00084AAF"/>
    <w:rsid w:val="00085895"/>
    <w:rsid w:val="00085E74"/>
    <w:rsid w:val="000860DA"/>
    <w:rsid w:val="000A6EE6"/>
    <w:rsid w:val="000B2833"/>
    <w:rsid w:val="000B48A0"/>
    <w:rsid w:val="000B6397"/>
    <w:rsid w:val="000C269A"/>
    <w:rsid w:val="000D0A1C"/>
    <w:rsid w:val="000E1A8A"/>
    <w:rsid w:val="000E2ACB"/>
    <w:rsid w:val="000E740F"/>
    <w:rsid w:val="000F5BBB"/>
    <w:rsid w:val="00110102"/>
    <w:rsid w:val="001219FE"/>
    <w:rsid w:val="00131A01"/>
    <w:rsid w:val="0013260D"/>
    <w:rsid w:val="00146017"/>
    <w:rsid w:val="001463BD"/>
    <w:rsid w:val="00151485"/>
    <w:rsid w:val="00154CD0"/>
    <w:rsid w:val="00155268"/>
    <w:rsid w:val="00155379"/>
    <w:rsid w:val="001649DE"/>
    <w:rsid w:val="001677DD"/>
    <w:rsid w:val="001833DB"/>
    <w:rsid w:val="00183C54"/>
    <w:rsid w:val="00197A5C"/>
    <w:rsid w:val="001B648E"/>
    <w:rsid w:val="001D1B71"/>
    <w:rsid w:val="001D3B55"/>
    <w:rsid w:val="001E55D4"/>
    <w:rsid w:val="001E5995"/>
    <w:rsid w:val="00203776"/>
    <w:rsid w:val="00206F26"/>
    <w:rsid w:val="002240B6"/>
    <w:rsid w:val="00231E92"/>
    <w:rsid w:val="00254875"/>
    <w:rsid w:val="00254E6D"/>
    <w:rsid w:val="002628F9"/>
    <w:rsid w:val="00263961"/>
    <w:rsid w:val="00292F1F"/>
    <w:rsid w:val="00293EB0"/>
    <w:rsid w:val="002A457C"/>
    <w:rsid w:val="002B4096"/>
    <w:rsid w:val="002B5404"/>
    <w:rsid w:val="002C270A"/>
    <w:rsid w:val="002C5570"/>
    <w:rsid w:val="002D1682"/>
    <w:rsid w:val="002D16C0"/>
    <w:rsid w:val="002D2DAF"/>
    <w:rsid w:val="002D33B7"/>
    <w:rsid w:val="002F3A92"/>
    <w:rsid w:val="002F3B1A"/>
    <w:rsid w:val="00302D84"/>
    <w:rsid w:val="003169BF"/>
    <w:rsid w:val="00343EF7"/>
    <w:rsid w:val="00355FA1"/>
    <w:rsid w:val="00363840"/>
    <w:rsid w:val="00373E11"/>
    <w:rsid w:val="00374913"/>
    <w:rsid w:val="00374ED2"/>
    <w:rsid w:val="003755EB"/>
    <w:rsid w:val="00380E49"/>
    <w:rsid w:val="0038145B"/>
    <w:rsid w:val="0038477A"/>
    <w:rsid w:val="00392D50"/>
    <w:rsid w:val="00395845"/>
    <w:rsid w:val="00395ED7"/>
    <w:rsid w:val="00397867"/>
    <w:rsid w:val="003C25FE"/>
    <w:rsid w:val="003C4CEC"/>
    <w:rsid w:val="003E4802"/>
    <w:rsid w:val="003F2A2D"/>
    <w:rsid w:val="003F371C"/>
    <w:rsid w:val="00402032"/>
    <w:rsid w:val="004053DA"/>
    <w:rsid w:val="00410F02"/>
    <w:rsid w:val="0042339A"/>
    <w:rsid w:val="00432400"/>
    <w:rsid w:val="00433EA3"/>
    <w:rsid w:val="00436C00"/>
    <w:rsid w:val="00437F51"/>
    <w:rsid w:val="00440E9A"/>
    <w:rsid w:val="0044571C"/>
    <w:rsid w:val="00457392"/>
    <w:rsid w:val="0047140A"/>
    <w:rsid w:val="0047438C"/>
    <w:rsid w:val="00475EDF"/>
    <w:rsid w:val="00490416"/>
    <w:rsid w:val="0049285B"/>
    <w:rsid w:val="00492D96"/>
    <w:rsid w:val="004C1F62"/>
    <w:rsid w:val="004C6C49"/>
    <w:rsid w:val="004D0462"/>
    <w:rsid w:val="004D07A7"/>
    <w:rsid w:val="004D09A1"/>
    <w:rsid w:val="0050134C"/>
    <w:rsid w:val="00506953"/>
    <w:rsid w:val="00512B2C"/>
    <w:rsid w:val="00524AB3"/>
    <w:rsid w:val="00540A9B"/>
    <w:rsid w:val="0054789B"/>
    <w:rsid w:val="005560FC"/>
    <w:rsid w:val="0055715C"/>
    <w:rsid w:val="005701B4"/>
    <w:rsid w:val="00580F86"/>
    <w:rsid w:val="00582DB4"/>
    <w:rsid w:val="0059121E"/>
    <w:rsid w:val="0059765C"/>
    <w:rsid w:val="005B2445"/>
    <w:rsid w:val="005C0CAD"/>
    <w:rsid w:val="005C25F3"/>
    <w:rsid w:val="005C4EA3"/>
    <w:rsid w:val="005D7AC3"/>
    <w:rsid w:val="005E1FAD"/>
    <w:rsid w:val="005E70BB"/>
    <w:rsid w:val="005F2E8C"/>
    <w:rsid w:val="00600C87"/>
    <w:rsid w:val="00610EBA"/>
    <w:rsid w:val="00614D7D"/>
    <w:rsid w:val="0062340D"/>
    <w:rsid w:val="00630636"/>
    <w:rsid w:val="00632E89"/>
    <w:rsid w:val="00636FFB"/>
    <w:rsid w:val="0064698D"/>
    <w:rsid w:val="00654B7B"/>
    <w:rsid w:val="006555C3"/>
    <w:rsid w:val="006559C8"/>
    <w:rsid w:val="00656589"/>
    <w:rsid w:val="006870C6"/>
    <w:rsid w:val="00693DB1"/>
    <w:rsid w:val="00695102"/>
    <w:rsid w:val="006B6337"/>
    <w:rsid w:val="006D194F"/>
    <w:rsid w:val="006D2E12"/>
    <w:rsid w:val="006E2970"/>
    <w:rsid w:val="006F3D47"/>
    <w:rsid w:val="00701E4E"/>
    <w:rsid w:val="007059AE"/>
    <w:rsid w:val="007511C2"/>
    <w:rsid w:val="00756AE3"/>
    <w:rsid w:val="00756F9F"/>
    <w:rsid w:val="00756FA4"/>
    <w:rsid w:val="00760BE8"/>
    <w:rsid w:val="00785BB2"/>
    <w:rsid w:val="00791B74"/>
    <w:rsid w:val="007A7665"/>
    <w:rsid w:val="007A7E9A"/>
    <w:rsid w:val="007B1EC0"/>
    <w:rsid w:val="007C1AD0"/>
    <w:rsid w:val="007C3FA1"/>
    <w:rsid w:val="007D4345"/>
    <w:rsid w:val="007E4751"/>
    <w:rsid w:val="007F122F"/>
    <w:rsid w:val="00806A0D"/>
    <w:rsid w:val="008322DD"/>
    <w:rsid w:val="00840277"/>
    <w:rsid w:val="00844A3B"/>
    <w:rsid w:val="00855316"/>
    <w:rsid w:val="008672A7"/>
    <w:rsid w:val="00871EB5"/>
    <w:rsid w:val="008931AC"/>
    <w:rsid w:val="00895D51"/>
    <w:rsid w:val="008B0329"/>
    <w:rsid w:val="008B175F"/>
    <w:rsid w:val="008B1F0F"/>
    <w:rsid w:val="008E1AA3"/>
    <w:rsid w:val="008E4BFC"/>
    <w:rsid w:val="008E651F"/>
    <w:rsid w:val="008F1E83"/>
    <w:rsid w:val="008F21FA"/>
    <w:rsid w:val="00902255"/>
    <w:rsid w:val="00904F52"/>
    <w:rsid w:val="00907E1B"/>
    <w:rsid w:val="009129DC"/>
    <w:rsid w:val="0091599E"/>
    <w:rsid w:val="00916EAD"/>
    <w:rsid w:val="00931E2B"/>
    <w:rsid w:val="009368B0"/>
    <w:rsid w:val="009452F9"/>
    <w:rsid w:val="00945971"/>
    <w:rsid w:val="009527C6"/>
    <w:rsid w:val="00956F75"/>
    <w:rsid w:val="00957831"/>
    <w:rsid w:val="0096490B"/>
    <w:rsid w:val="00970D89"/>
    <w:rsid w:val="00972E6E"/>
    <w:rsid w:val="00983778"/>
    <w:rsid w:val="00991EB6"/>
    <w:rsid w:val="009964EB"/>
    <w:rsid w:val="009A130C"/>
    <w:rsid w:val="009A4871"/>
    <w:rsid w:val="009D1A1C"/>
    <w:rsid w:val="009F29B5"/>
    <w:rsid w:val="009F3DAA"/>
    <w:rsid w:val="009F5D59"/>
    <w:rsid w:val="009F6546"/>
    <w:rsid w:val="009F7B2A"/>
    <w:rsid w:val="00A0110B"/>
    <w:rsid w:val="00A061F8"/>
    <w:rsid w:val="00A1355C"/>
    <w:rsid w:val="00A149F4"/>
    <w:rsid w:val="00A16F82"/>
    <w:rsid w:val="00A172D9"/>
    <w:rsid w:val="00A63944"/>
    <w:rsid w:val="00A66EEB"/>
    <w:rsid w:val="00A82AE5"/>
    <w:rsid w:val="00A92CA9"/>
    <w:rsid w:val="00A92EBF"/>
    <w:rsid w:val="00AA76E3"/>
    <w:rsid w:val="00AC2000"/>
    <w:rsid w:val="00AD2744"/>
    <w:rsid w:val="00AE0EAE"/>
    <w:rsid w:val="00AF6E90"/>
    <w:rsid w:val="00B11DE0"/>
    <w:rsid w:val="00B20B30"/>
    <w:rsid w:val="00B239DB"/>
    <w:rsid w:val="00B304F2"/>
    <w:rsid w:val="00B45E95"/>
    <w:rsid w:val="00B4698A"/>
    <w:rsid w:val="00B50A03"/>
    <w:rsid w:val="00B558C3"/>
    <w:rsid w:val="00B5655C"/>
    <w:rsid w:val="00B646E7"/>
    <w:rsid w:val="00B65F03"/>
    <w:rsid w:val="00B70694"/>
    <w:rsid w:val="00B7327F"/>
    <w:rsid w:val="00B7337E"/>
    <w:rsid w:val="00B97DF6"/>
    <w:rsid w:val="00BA231C"/>
    <w:rsid w:val="00BB7DBF"/>
    <w:rsid w:val="00BC4418"/>
    <w:rsid w:val="00BD03D6"/>
    <w:rsid w:val="00BE7CC8"/>
    <w:rsid w:val="00BF57B3"/>
    <w:rsid w:val="00C037D1"/>
    <w:rsid w:val="00C13737"/>
    <w:rsid w:val="00C22927"/>
    <w:rsid w:val="00C42B2A"/>
    <w:rsid w:val="00C618FF"/>
    <w:rsid w:val="00C625A5"/>
    <w:rsid w:val="00C64DC8"/>
    <w:rsid w:val="00C653ED"/>
    <w:rsid w:val="00C67D73"/>
    <w:rsid w:val="00C85D88"/>
    <w:rsid w:val="00C969FE"/>
    <w:rsid w:val="00CA51CA"/>
    <w:rsid w:val="00CB18A7"/>
    <w:rsid w:val="00CB630A"/>
    <w:rsid w:val="00CC6CF9"/>
    <w:rsid w:val="00CD19F5"/>
    <w:rsid w:val="00CE07A8"/>
    <w:rsid w:val="00CE3D08"/>
    <w:rsid w:val="00CE4418"/>
    <w:rsid w:val="00CF11E3"/>
    <w:rsid w:val="00D21F5B"/>
    <w:rsid w:val="00D45A4D"/>
    <w:rsid w:val="00D74372"/>
    <w:rsid w:val="00D81AB8"/>
    <w:rsid w:val="00D91AC3"/>
    <w:rsid w:val="00DA6166"/>
    <w:rsid w:val="00DA6E4A"/>
    <w:rsid w:val="00DA7EB9"/>
    <w:rsid w:val="00DC3FAD"/>
    <w:rsid w:val="00DD7B08"/>
    <w:rsid w:val="00E040C2"/>
    <w:rsid w:val="00E17D14"/>
    <w:rsid w:val="00E20458"/>
    <w:rsid w:val="00E34DF9"/>
    <w:rsid w:val="00E35DE2"/>
    <w:rsid w:val="00E36D96"/>
    <w:rsid w:val="00E42A7E"/>
    <w:rsid w:val="00E432A4"/>
    <w:rsid w:val="00E47AF2"/>
    <w:rsid w:val="00E52DC7"/>
    <w:rsid w:val="00E53B6C"/>
    <w:rsid w:val="00E56354"/>
    <w:rsid w:val="00E56B3D"/>
    <w:rsid w:val="00E56C20"/>
    <w:rsid w:val="00E61A59"/>
    <w:rsid w:val="00E73D1D"/>
    <w:rsid w:val="00E84AF1"/>
    <w:rsid w:val="00E919F6"/>
    <w:rsid w:val="00EA26F6"/>
    <w:rsid w:val="00EB1A76"/>
    <w:rsid w:val="00EC038E"/>
    <w:rsid w:val="00ED0A74"/>
    <w:rsid w:val="00EE1C44"/>
    <w:rsid w:val="00EF0780"/>
    <w:rsid w:val="00EF0D90"/>
    <w:rsid w:val="00EF4F22"/>
    <w:rsid w:val="00F00DD7"/>
    <w:rsid w:val="00F01D22"/>
    <w:rsid w:val="00F0322D"/>
    <w:rsid w:val="00F62F14"/>
    <w:rsid w:val="00F660CE"/>
    <w:rsid w:val="00F71242"/>
    <w:rsid w:val="00F72684"/>
    <w:rsid w:val="00F827F7"/>
    <w:rsid w:val="00F84D93"/>
    <w:rsid w:val="00FA19D9"/>
    <w:rsid w:val="00FB576B"/>
    <w:rsid w:val="00FB795C"/>
    <w:rsid w:val="00FC2CD6"/>
    <w:rsid w:val="00FC4ADC"/>
    <w:rsid w:val="00FC670B"/>
    <w:rsid w:val="00FE2548"/>
    <w:rsid w:val="00FE2D73"/>
    <w:rsid w:val="00FE687B"/>
    <w:rsid w:val="00FF752B"/>
    <w:rsid w:val="017053C8"/>
    <w:rsid w:val="01BC366C"/>
    <w:rsid w:val="03F708FF"/>
    <w:rsid w:val="043F4A7B"/>
    <w:rsid w:val="04CE5ACF"/>
    <w:rsid w:val="06D90AA9"/>
    <w:rsid w:val="089719BE"/>
    <w:rsid w:val="098F7F23"/>
    <w:rsid w:val="0AE63823"/>
    <w:rsid w:val="0DC33FA1"/>
    <w:rsid w:val="133833D9"/>
    <w:rsid w:val="16976D5D"/>
    <w:rsid w:val="1A587BA6"/>
    <w:rsid w:val="26497676"/>
    <w:rsid w:val="29F067FC"/>
    <w:rsid w:val="2BE772D7"/>
    <w:rsid w:val="2EE6563F"/>
    <w:rsid w:val="3083092C"/>
    <w:rsid w:val="30D66101"/>
    <w:rsid w:val="378D0659"/>
    <w:rsid w:val="37971BDE"/>
    <w:rsid w:val="48B62E3A"/>
    <w:rsid w:val="4A862A13"/>
    <w:rsid w:val="4B8678A9"/>
    <w:rsid w:val="4C3F78E1"/>
    <w:rsid w:val="508551C2"/>
    <w:rsid w:val="53217CE3"/>
    <w:rsid w:val="554B4787"/>
    <w:rsid w:val="57470D53"/>
    <w:rsid w:val="5991071A"/>
    <w:rsid w:val="5CAA564F"/>
    <w:rsid w:val="603D4476"/>
    <w:rsid w:val="62DB3061"/>
    <w:rsid w:val="69FF134B"/>
    <w:rsid w:val="6CD056C1"/>
    <w:rsid w:val="71312E46"/>
    <w:rsid w:val="722F0678"/>
    <w:rsid w:val="74F3598D"/>
    <w:rsid w:val="7FFD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79FA4"/>
  <w15:docId w15:val="{2D067AB2-C829-49B0-A363-226575BD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qFormat/>
    <w:pPr>
      <w:ind w:left="1260"/>
      <w:jc w:val="left"/>
    </w:pPr>
    <w:rPr>
      <w:sz w:val="18"/>
    </w:rPr>
  </w:style>
  <w:style w:type="paragraph" w:styleId="a3">
    <w:name w:val="Document Map"/>
    <w:basedOn w:val="a"/>
    <w:semiHidden/>
    <w:qFormat/>
    <w:pPr>
      <w:shd w:val="clear" w:color="auto" w:fill="000080"/>
    </w:pPr>
  </w:style>
  <w:style w:type="paragraph" w:styleId="a4">
    <w:name w:val="annotation text"/>
    <w:basedOn w:val="a"/>
    <w:semiHidden/>
    <w:unhideWhenUsed/>
    <w:qFormat/>
    <w:pPr>
      <w:jc w:val="left"/>
    </w:pPr>
  </w:style>
  <w:style w:type="paragraph" w:styleId="a5">
    <w:name w:val="Body Text"/>
    <w:basedOn w:val="a"/>
    <w:qFormat/>
    <w:pPr>
      <w:spacing w:line="1500" w:lineRule="exact"/>
      <w:jc w:val="center"/>
    </w:pPr>
    <w:rPr>
      <w:rFonts w:ascii="宋体"/>
      <w:b/>
      <w:sz w:val="52"/>
    </w:rPr>
  </w:style>
  <w:style w:type="paragraph" w:styleId="a6">
    <w:name w:val="Body Text Indent"/>
    <w:basedOn w:val="a"/>
    <w:qFormat/>
    <w:pPr>
      <w:spacing w:line="480" w:lineRule="exact"/>
      <w:ind w:firstLine="572"/>
    </w:pPr>
    <w:rPr>
      <w:sz w:val="24"/>
    </w:rPr>
  </w:style>
  <w:style w:type="paragraph" w:styleId="TOC5">
    <w:name w:val="toc 5"/>
    <w:basedOn w:val="a"/>
    <w:next w:val="a"/>
    <w:semiHidden/>
    <w:qFormat/>
    <w:pPr>
      <w:ind w:left="840"/>
      <w:jc w:val="left"/>
    </w:pPr>
    <w:rPr>
      <w:sz w:val="18"/>
    </w:rPr>
  </w:style>
  <w:style w:type="paragraph" w:styleId="TOC3">
    <w:name w:val="toc 3"/>
    <w:basedOn w:val="a"/>
    <w:next w:val="a"/>
    <w:uiPriority w:val="39"/>
    <w:qFormat/>
    <w:pPr>
      <w:ind w:left="420"/>
      <w:jc w:val="left"/>
    </w:pPr>
    <w:rPr>
      <w:i/>
      <w:sz w:val="20"/>
    </w:rPr>
  </w:style>
  <w:style w:type="paragraph" w:styleId="a7">
    <w:name w:val="Plain Text"/>
    <w:basedOn w:val="a"/>
    <w:link w:val="a8"/>
    <w:qFormat/>
    <w:pPr>
      <w:adjustRightInd/>
      <w:spacing w:line="240" w:lineRule="auto"/>
      <w:textAlignment w:val="auto"/>
    </w:pPr>
    <w:rPr>
      <w:rFonts w:ascii="宋体" w:hAnsi="Courier New" w:cs="Courier New"/>
      <w:kern w:val="2"/>
      <w:szCs w:val="21"/>
    </w:rPr>
  </w:style>
  <w:style w:type="paragraph" w:styleId="TOC8">
    <w:name w:val="toc 8"/>
    <w:basedOn w:val="a"/>
    <w:next w:val="a"/>
    <w:semiHidden/>
    <w:qFormat/>
    <w:pPr>
      <w:ind w:left="1470"/>
      <w:jc w:val="left"/>
    </w:pPr>
    <w:rPr>
      <w:sz w:val="18"/>
    </w:rPr>
  </w:style>
  <w:style w:type="paragraph" w:styleId="a9">
    <w:name w:val="Date"/>
    <w:basedOn w:val="a"/>
    <w:next w:val="a"/>
    <w:qFormat/>
    <w:rPr>
      <w:rFonts w:ascii="仿宋_GB2312" w:eastAsia="仿宋_GB2312"/>
      <w:sz w:val="24"/>
    </w:rPr>
  </w:style>
  <w:style w:type="paragraph" w:styleId="aa">
    <w:name w:val="Balloon Text"/>
    <w:basedOn w:val="a"/>
    <w:link w:val="ab"/>
    <w:qFormat/>
    <w:pPr>
      <w:spacing w:line="240" w:lineRule="auto"/>
    </w:pPr>
    <w:rPr>
      <w:sz w:val="18"/>
      <w:szCs w:val="18"/>
    </w:rPr>
  </w:style>
  <w:style w:type="paragraph" w:styleId="ac">
    <w:name w:val="footer"/>
    <w:basedOn w:val="a"/>
    <w:qFormat/>
    <w:pPr>
      <w:tabs>
        <w:tab w:val="center" w:pos="4153"/>
        <w:tab w:val="right" w:pos="8306"/>
      </w:tabs>
      <w:snapToGrid w:val="0"/>
      <w:spacing w:line="240" w:lineRule="atLeast"/>
      <w:jc w:val="left"/>
    </w:pPr>
    <w:rPr>
      <w:sz w:val="18"/>
    </w:rPr>
  </w:style>
  <w:style w:type="paragraph" w:styleId="ad">
    <w:name w:val="header"/>
    <w:basedOn w:val="a"/>
    <w:qFormat/>
    <w:pPr>
      <w:pBdr>
        <w:bottom w:val="single" w:sz="6" w:space="1" w:color="auto"/>
      </w:pBdr>
      <w:tabs>
        <w:tab w:val="center" w:pos="4153"/>
        <w:tab w:val="right" w:pos="8306"/>
      </w:tabs>
      <w:snapToGrid w:val="0"/>
      <w:spacing w:line="240" w:lineRule="atLeast"/>
      <w:jc w:val="center"/>
    </w:pPr>
    <w:rPr>
      <w:sz w:val="18"/>
    </w:rPr>
  </w:style>
  <w:style w:type="paragraph" w:styleId="TOC1">
    <w:name w:val="toc 1"/>
    <w:basedOn w:val="a"/>
    <w:next w:val="a"/>
    <w:uiPriority w:val="39"/>
    <w:qFormat/>
    <w:pPr>
      <w:spacing w:before="120" w:after="120"/>
      <w:jc w:val="left"/>
    </w:pPr>
    <w:rPr>
      <w:b/>
      <w:caps/>
      <w:sz w:val="20"/>
    </w:rPr>
  </w:style>
  <w:style w:type="paragraph" w:styleId="TOC4">
    <w:name w:val="toc 4"/>
    <w:basedOn w:val="a"/>
    <w:next w:val="a"/>
    <w:semiHidden/>
    <w:qFormat/>
    <w:pPr>
      <w:ind w:left="630"/>
      <w:jc w:val="left"/>
    </w:pPr>
    <w:rPr>
      <w:sz w:val="18"/>
    </w:rPr>
  </w:style>
  <w:style w:type="paragraph" w:styleId="TOC6">
    <w:name w:val="toc 6"/>
    <w:basedOn w:val="a"/>
    <w:next w:val="a"/>
    <w:semiHidden/>
    <w:qFormat/>
    <w:pPr>
      <w:ind w:left="1050"/>
      <w:jc w:val="left"/>
    </w:pPr>
    <w:rPr>
      <w:sz w:val="18"/>
    </w:rPr>
  </w:style>
  <w:style w:type="paragraph" w:styleId="TOC2">
    <w:name w:val="toc 2"/>
    <w:basedOn w:val="a"/>
    <w:next w:val="a"/>
    <w:uiPriority w:val="39"/>
    <w:qFormat/>
    <w:pPr>
      <w:ind w:left="210"/>
      <w:jc w:val="left"/>
    </w:pPr>
    <w:rPr>
      <w:smallCaps/>
      <w:sz w:val="20"/>
    </w:rPr>
  </w:style>
  <w:style w:type="paragraph" w:styleId="TOC9">
    <w:name w:val="toc 9"/>
    <w:basedOn w:val="a"/>
    <w:next w:val="a"/>
    <w:semiHidden/>
    <w:qFormat/>
    <w:pPr>
      <w:ind w:left="1680"/>
      <w:jc w:val="left"/>
    </w:pPr>
    <w:rPr>
      <w:sz w:val="18"/>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customStyle="1" w:styleId="ab">
    <w:name w:val="批注框文本 字符"/>
    <w:link w:val="aa"/>
    <w:qFormat/>
    <w:rPr>
      <w:sz w:val="18"/>
      <w:szCs w:val="18"/>
    </w:rPr>
  </w:style>
  <w:style w:type="paragraph" w:customStyle="1" w:styleId="af0">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0"/>
    <w:link w:val="af0"/>
    <w:qFormat/>
    <w:rPr>
      <w:rFonts w:ascii="宋体"/>
      <w:sz w:val="21"/>
    </w:rPr>
  </w:style>
  <w:style w:type="paragraph" w:styleId="af1">
    <w:name w:val="List Paragraph"/>
    <w:basedOn w:val="a"/>
    <w:uiPriority w:val="34"/>
    <w:qFormat/>
    <w:pPr>
      <w:ind w:firstLineChars="200" w:firstLine="420"/>
    </w:pPr>
  </w:style>
  <w:style w:type="character" w:customStyle="1" w:styleId="a8">
    <w:name w:val="纯文本 字符"/>
    <w:basedOn w:val="a0"/>
    <w:link w:val="a7"/>
    <w:qFormat/>
    <w:rPr>
      <w:rFonts w:ascii="宋体" w:hAnsi="Courier New" w:cs="Courier New"/>
      <w:kern w:val="2"/>
      <w:sz w:val="21"/>
      <w:szCs w:val="21"/>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f2">
    <w:name w:val="Revision"/>
    <w:hidden/>
    <w:uiPriority w:val="99"/>
    <w:unhideWhenUsed/>
    <w:rsid w:val="00492D9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483</Words>
  <Characters>2755</Characters>
  <Application>Microsoft Office Word</Application>
  <DocSecurity>0</DocSecurity>
  <Lines>22</Lines>
  <Paragraphs>6</Paragraphs>
  <ScaleCrop>false</ScaleCrop>
  <Company>Microsoft</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申请承担“森林资源规划设计调查主要技术规定的修订”项目说明</dc:title>
  <dc:creator>weng guoqing</dc:creator>
  <cp:lastModifiedBy>勇 张</cp:lastModifiedBy>
  <cp:revision>2</cp:revision>
  <cp:lastPrinted>2020-07-30T14:25:00Z</cp:lastPrinted>
  <dcterms:created xsi:type="dcterms:W3CDTF">2024-12-19T13:43:00Z</dcterms:created>
  <dcterms:modified xsi:type="dcterms:W3CDTF">2024-12-19T13:43:00Z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10ACD11492054D85BA247D6F7BBFB662</vt:lpwstr>
  </property>
</Properties>
</file>