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center"/>
        <w:textAlignment w:val="auto"/>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《林地与城市绿地红火蚁监测技术规程</w:t>
      </w:r>
    </w:p>
    <w:p>
      <w:pPr>
        <w:keepNext w:val="0"/>
        <w:keepLines w:val="0"/>
        <w:pageBreakBefore w:val="0"/>
        <w:kinsoku/>
        <w:wordWrap/>
        <w:overflowPunct/>
        <w:topLinePunct w:val="0"/>
        <w:bidi w:val="0"/>
        <w:adjustRightInd/>
        <w:snapToGrid/>
        <w:spacing w:line="240" w:lineRule="auto"/>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（征求意见稿）》编制说明</w:t>
      </w:r>
    </w:p>
    <w:p>
      <w:pPr>
        <w:keepNext w:val="0"/>
        <w:keepLines w:val="0"/>
        <w:pageBreakBefore w:val="0"/>
        <w:numPr>
          <w:ilvl w:val="0"/>
          <w:numId w:val="1"/>
        </w:numPr>
        <w:kinsoku/>
        <w:wordWrap/>
        <w:overflowPunct/>
        <w:topLinePunct w:val="0"/>
        <w:bidi w:val="0"/>
        <w:adjustRightInd/>
        <w:snapToGrid/>
        <w:spacing w:line="240" w:lineRule="auto"/>
        <w:textAlignment w:val="auto"/>
        <w:rPr>
          <w:rFonts w:ascii="仿宋" w:hAnsi="仿宋" w:eastAsia="仿宋" w:cs="仿宋"/>
          <w:sz w:val="30"/>
          <w:szCs w:val="30"/>
        </w:rPr>
      </w:pPr>
      <w:r>
        <w:rPr>
          <w:rFonts w:ascii="黑体" w:hAnsi="黑体" w:eastAsia="黑体" w:cs="黑体"/>
          <w:sz w:val="30"/>
          <w:szCs w:val="30"/>
        </w:rPr>
        <w:t>工作简况。</w:t>
      </w:r>
      <w:r>
        <w:rPr>
          <w:rFonts w:ascii="仿宋" w:hAnsi="仿宋" w:eastAsia="仿宋" w:cs="仿宋"/>
          <w:sz w:val="30"/>
          <w:szCs w:val="30"/>
        </w:rPr>
        <w:t>包括任务来源（立项文件），协作单位、分工等。</w:t>
      </w:r>
    </w:p>
    <w:p>
      <w:pPr>
        <w:pStyle w:val="5"/>
        <w:keepNext w:val="0"/>
        <w:keepLines w:val="0"/>
        <w:pageBreakBefore w:val="0"/>
        <w:kinsoku/>
        <w:wordWrap/>
        <w:overflowPunct/>
        <w:topLinePunct w:val="0"/>
        <w:bidi w:val="0"/>
        <w:adjustRightInd/>
        <w:snapToGrid/>
        <w:spacing w:line="360" w:lineRule="auto"/>
        <w:ind w:firstLine="480"/>
        <w:textAlignment w:val="auto"/>
        <w:rPr>
          <w:rFonts w:ascii="仿宋" w:hAnsi="仿宋" w:eastAsia="仿宋" w:cs="仿宋"/>
          <w:sz w:val="30"/>
          <w:szCs w:val="30"/>
        </w:rPr>
      </w:pPr>
      <w:r>
        <w:rPr>
          <w:rFonts w:hint="eastAsia" w:hAnsi="宋体"/>
          <w:kern w:val="2"/>
          <w:sz w:val="28"/>
          <w:szCs w:val="28"/>
          <w:lang w:val="en-US" w:eastAsia="zh-CN"/>
        </w:rPr>
        <w:t>根据广东省市场监督管理局《广东省全面实施标准化战略领导小组办公室关于征集2023年第二批地方标准制修订计划项目的通知》（粤市监标准〔2023〕325号），经广东省林业局推荐，由华南农业大学负责广东省地方标准《林地与城市绿地红火蚁监测技术规程》的编制工作。</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ascii="黑体" w:hAnsi="黑体" w:eastAsia="黑体" w:cs="黑体"/>
          <w:sz w:val="30"/>
          <w:szCs w:val="30"/>
        </w:rPr>
      </w:pPr>
      <w:r>
        <w:rPr>
          <w:rFonts w:ascii="黑体" w:hAnsi="黑体" w:eastAsia="黑体" w:cs="黑体"/>
          <w:sz w:val="30"/>
          <w:szCs w:val="30"/>
        </w:rPr>
        <w:t>立项的必要性，包括行业发展现状，痛点，拟解決的问题。</w:t>
      </w:r>
    </w:p>
    <w:p>
      <w:pPr>
        <w:pStyle w:val="5"/>
        <w:keepNext w:val="0"/>
        <w:keepLines w:val="0"/>
        <w:pageBreakBefore w:val="0"/>
        <w:kinsoku/>
        <w:wordWrap/>
        <w:overflowPunct/>
        <w:topLinePunct w:val="0"/>
        <w:bidi w:val="0"/>
        <w:adjustRightInd/>
        <w:snapToGrid/>
        <w:spacing w:line="360" w:lineRule="auto"/>
        <w:ind w:left="0" w:leftChars="0" w:firstLine="0" w:firstLineChars="0"/>
        <w:textAlignment w:val="auto"/>
        <w:rPr>
          <w:rFonts w:hint="default" w:hAnsi="宋体"/>
          <w:kern w:val="2"/>
          <w:sz w:val="28"/>
          <w:szCs w:val="28"/>
          <w:lang w:val="en-US" w:eastAsia="zh-CN"/>
        </w:rPr>
      </w:pPr>
      <w:r>
        <w:rPr>
          <w:rFonts w:hint="eastAsia" w:hAnsi="宋体"/>
          <w:kern w:val="2"/>
          <w:sz w:val="28"/>
          <w:szCs w:val="28"/>
          <w:lang w:val="en-US" w:eastAsia="zh-CN"/>
        </w:rPr>
        <w:t>1）发展现状和痛点</w:t>
      </w:r>
    </w:p>
    <w:p>
      <w:pPr>
        <w:pStyle w:val="5"/>
        <w:keepNext w:val="0"/>
        <w:keepLines w:val="0"/>
        <w:pageBreakBefore w:val="0"/>
        <w:kinsoku/>
        <w:wordWrap/>
        <w:overflowPunct/>
        <w:topLinePunct w:val="0"/>
        <w:bidi w:val="0"/>
        <w:adjustRightInd/>
        <w:snapToGrid/>
        <w:spacing w:line="360" w:lineRule="auto"/>
        <w:ind w:firstLine="480"/>
        <w:textAlignment w:val="auto"/>
        <w:rPr>
          <w:rFonts w:hint="eastAsia" w:hAnsi="宋体"/>
          <w:kern w:val="2"/>
          <w:sz w:val="28"/>
          <w:szCs w:val="28"/>
          <w:lang w:val="en-US" w:eastAsia="zh-CN"/>
        </w:rPr>
      </w:pPr>
      <w:r>
        <w:rPr>
          <w:rFonts w:hint="eastAsia" w:hAnsi="宋体"/>
          <w:kern w:val="2"/>
          <w:sz w:val="28"/>
          <w:szCs w:val="28"/>
          <w:lang w:val="en-US" w:eastAsia="zh-CN"/>
        </w:rPr>
        <w:t>红火蚁（</w:t>
      </w:r>
      <w:r>
        <w:rPr>
          <w:rFonts w:hint="eastAsia" w:hAnsi="宋体"/>
          <w:i/>
          <w:iCs/>
          <w:kern w:val="2"/>
          <w:sz w:val="28"/>
          <w:szCs w:val="28"/>
          <w:lang w:val="en-US" w:eastAsia="zh-CN"/>
        </w:rPr>
        <w:t>Solenopsis invicta</w:t>
      </w:r>
      <w:r>
        <w:rPr>
          <w:rFonts w:hint="eastAsia" w:hAnsi="宋体"/>
          <w:kern w:val="2"/>
          <w:sz w:val="28"/>
          <w:szCs w:val="28"/>
          <w:lang w:val="en-US" w:eastAsia="zh-CN"/>
        </w:rPr>
        <w:t xml:space="preserve"> Buren）是一种极具危害性的入侵害虫，严重威胁被入侵地区的公共安全、农林业生产和生态环境。我国红火蚁疫情扩散蔓延形势十分严峻，据农业农村部统计，截至2023年6月，红火蚁已扩散至全国12个省625个县（市、区），相比2022年12月新增了46个县（市、区）。在林地与城市绿地区域，红火蚁的危害主要表现在以下几个方面：（</w:t>
      </w:r>
      <w:r>
        <w:rPr>
          <w:rFonts w:hint="default" w:hAnsi="宋体"/>
          <w:kern w:val="2"/>
          <w:sz w:val="28"/>
          <w:szCs w:val="28"/>
          <w:lang w:val="en-US" w:eastAsia="zh-CN"/>
        </w:rPr>
        <w:t>i</w:t>
      </w:r>
      <w:r>
        <w:rPr>
          <w:rFonts w:hint="eastAsia" w:hAnsi="宋体"/>
          <w:kern w:val="2"/>
          <w:sz w:val="28"/>
          <w:szCs w:val="28"/>
          <w:lang w:val="en-US" w:eastAsia="zh-CN"/>
        </w:rPr>
        <w:t>）主动咬蛰区域内的活动人员，导致产生皮肤瘙痒、红肿、脓疱甚至引起过敏性休克等反应；（</w:t>
      </w:r>
      <w:r>
        <w:rPr>
          <w:rFonts w:hint="default" w:hAnsi="宋体"/>
          <w:kern w:val="2"/>
          <w:sz w:val="28"/>
          <w:szCs w:val="28"/>
          <w:lang w:val="en-US" w:eastAsia="zh-CN"/>
        </w:rPr>
        <w:t>ii</w:t>
      </w:r>
      <w:r>
        <w:rPr>
          <w:rFonts w:hint="eastAsia" w:hAnsi="宋体"/>
          <w:kern w:val="2"/>
          <w:sz w:val="28"/>
          <w:szCs w:val="28"/>
          <w:lang w:val="en-US" w:eastAsia="zh-CN"/>
        </w:rPr>
        <w:t>）大量取食植物的种子导致出苗率降低；（</w:t>
      </w:r>
      <w:r>
        <w:rPr>
          <w:rFonts w:hint="default" w:hAnsi="宋体"/>
          <w:kern w:val="2"/>
          <w:sz w:val="28"/>
          <w:szCs w:val="28"/>
          <w:lang w:val="en-US" w:eastAsia="zh-CN"/>
        </w:rPr>
        <w:t>iii</w:t>
      </w:r>
      <w:r>
        <w:rPr>
          <w:rFonts w:hint="eastAsia" w:hAnsi="宋体"/>
          <w:kern w:val="2"/>
          <w:sz w:val="28"/>
          <w:szCs w:val="28"/>
          <w:lang w:val="en-US" w:eastAsia="zh-CN"/>
        </w:rPr>
        <w:t>）破坏植物的根系、嫩茎和嫩芽，影响植物生长及其果实的形态和质量；（</w:t>
      </w:r>
      <w:r>
        <w:rPr>
          <w:rFonts w:hint="default" w:hAnsi="宋体"/>
          <w:kern w:val="2"/>
          <w:sz w:val="28"/>
          <w:szCs w:val="28"/>
          <w:lang w:val="en-US" w:eastAsia="zh-CN"/>
        </w:rPr>
        <w:t>iv</w:t>
      </w:r>
      <w:r>
        <w:rPr>
          <w:rFonts w:hint="eastAsia" w:hAnsi="宋体"/>
          <w:kern w:val="2"/>
          <w:sz w:val="28"/>
          <w:szCs w:val="28"/>
          <w:lang w:val="en-US" w:eastAsia="zh-CN"/>
        </w:rPr>
        <w:t>）抢占环境生态位，降低传粉动物访花的数量，降低授粉植物的产量；（</w:t>
      </w:r>
      <w:r>
        <w:rPr>
          <w:rFonts w:hint="default" w:hAnsi="宋体"/>
          <w:kern w:val="2"/>
          <w:sz w:val="28"/>
          <w:szCs w:val="28"/>
          <w:lang w:val="en-US" w:eastAsia="zh-CN"/>
        </w:rPr>
        <w:t>v</w:t>
      </w:r>
      <w:r>
        <w:rPr>
          <w:rFonts w:hint="eastAsia" w:hAnsi="宋体"/>
          <w:kern w:val="2"/>
          <w:sz w:val="28"/>
          <w:szCs w:val="28"/>
          <w:lang w:val="en-US" w:eastAsia="zh-CN"/>
        </w:rPr>
        <w:t>）搬运和放牧蚜虫、蚧类等分泌蜜露的害虫，传播植物病害，导致花市受到重创；（</w:t>
      </w:r>
      <w:r>
        <w:rPr>
          <w:rFonts w:hint="default" w:hAnsi="宋体"/>
          <w:kern w:val="2"/>
          <w:sz w:val="28"/>
          <w:szCs w:val="28"/>
          <w:lang w:val="en-US" w:eastAsia="zh-CN"/>
        </w:rPr>
        <w:t>vi</w:t>
      </w:r>
      <w:r>
        <w:rPr>
          <w:rFonts w:hint="eastAsia" w:hAnsi="宋体"/>
          <w:kern w:val="2"/>
          <w:sz w:val="28"/>
          <w:szCs w:val="28"/>
          <w:lang w:val="en-US" w:eastAsia="zh-CN"/>
        </w:rPr>
        <w:t>）侵入区域内的电器设施（如：电箱、电话总机箱、交通信号机箱等），破坏线路绝缘层或搬运土壤进入设备容器中筑巢，引起设施故障，降低使用年限；（</w:t>
      </w:r>
      <w:r>
        <w:rPr>
          <w:rFonts w:hint="default" w:hAnsi="宋体"/>
          <w:kern w:val="2"/>
          <w:sz w:val="28"/>
          <w:szCs w:val="28"/>
          <w:lang w:val="en-US" w:eastAsia="zh-CN"/>
        </w:rPr>
        <w:t>vii</w:t>
      </w:r>
      <w:r>
        <w:rPr>
          <w:rFonts w:hint="eastAsia" w:hAnsi="宋体"/>
          <w:kern w:val="2"/>
          <w:sz w:val="28"/>
          <w:szCs w:val="28"/>
          <w:lang w:val="en-US" w:eastAsia="zh-CN"/>
        </w:rPr>
        <w:t>）建造大量蚁丘影响绿化区域的美观与整洁。</w:t>
      </w:r>
    </w:p>
    <w:p>
      <w:pPr>
        <w:pStyle w:val="5"/>
        <w:keepNext w:val="0"/>
        <w:keepLines w:val="0"/>
        <w:pageBreakBefore w:val="0"/>
        <w:kinsoku/>
        <w:wordWrap/>
        <w:overflowPunct/>
        <w:topLinePunct w:val="0"/>
        <w:bidi w:val="0"/>
        <w:adjustRightInd/>
        <w:snapToGrid/>
        <w:spacing w:line="360" w:lineRule="auto"/>
        <w:ind w:firstLine="480"/>
        <w:textAlignment w:val="auto"/>
        <w:rPr>
          <w:rFonts w:hint="eastAsia" w:hAnsi="宋体"/>
          <w:kern w:val="2"/>
          <w:sz w:val="28"/>
          <w:szCs w:val="28"/>
          <w:lang w:val="en-US" w:eastAsia="zh-CN"/>
        </w:rPr>
      </w:pPr>
      <w:r>
        <w:rPr>
          <w:rFonts w:hint="eastAsia" w:hAnsi="宋体"/>
          <w:kern w:val="2"/>
          <w:sz w:val="28"/>
          <w:szCs w:val="28"/>
          <w:lang w:val="en-US" w:eastAsia="zh-CN"/>
        </w:rPr>
        <w:t>2021年3月，国家农业与农村部、国家林业与草地局等九部门联合印发《关于加强红火蚁阻截防控工作的通知》（农农发〔2021〕3号），要求各地加强控制红火蚁疫情蔓延危害, 保障农林业生产、生态环境和人民生命安全。同年，广东省人民政府、广东省林业局相继印发《广东省人民政府办公厅关于印发广东省防控红火蚁若干措施的通知》（粤办函〔2021〕6号）和《广东省林业局关于做好林地红火蚁防控工作的通知》（粤林函〔2021〕11号），进一步推动了广东省内的红火蚁疫情防控工作。2022年12月8日，广东省委出台《关于深入推进绿美广东生态建设的决定》。文件指出，为了贯彻落实党的二十大精神，推进绿美广东生态建设，要加强林业领域生物安全风险防控，健全有害生物监测预防体系。</w:t>
      </w:r>
    </w:p>
    <w:p>
      <w:pPr>
        <w:pStyle w:val="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hAnsi="宋体"/>
          <w:kern w:val="2"/>
          <w:sz w:val="28"/>
          <w:szCs w:val="28"/>
          <w:lang w:val="en-US" w:eastAsia="zh-CN"/>
        </w:rPr>
      </w:pPr>
      <w:r>
        <w:rPr>
          <w:rFonts w:hint="eastAsia" w:hAnsi="宋体"/>
          <w:kern w:val="2"/>
          <w:sz w:val="28"/>
          <w:szCs w:val="28"/>
          <w:lang w:val="en-US" w:eastAsia="zh-CN"/>
        </w:rPr>
        <w:t>2）拟解決的问题</w:t>
      </w:r>
    </w:p>
    <w:p>
      <w:pPr>
        <w:pStyle w:val="5"/>
        <w:keepNext w:val="0"/>
        <w:keepLines w:val="0"/>
        <w:pageBreakBefore w:val="0"/>
        <w:kinsoku/>
        <w:wordWrap/>
        <w:overflowPunct/>
        <w:topLinePunct w:val="0"/>
        <w:bidi w:val="0"/>
        <w:adjustRightInd/>
        <w:snapToGrid/>
        <w:spacing w:line="360" w:lineRule="auto"/>
        <w:ind w:firstLine="480"/>
        <w:textAlignment w:val="auto"/>
        <w:rPr>
          <w:rFonts w:hint="eastAsia" w:hAnsi="宋体"/>
          <w:kern w:val="2"/>
          <w:sz w:val="28"/>
          <w:szCs w:val="28"/>
          <w:lang w:val="en-US" w:eastAsia="zh-CN"/>
        </w:rPr>
      </w:pPr>
      <w:r>
        <w:rPr>
          <w:rFonts w:hint="eastAsia" w:hAnsi="宋体"/>
          <w:kern w:val="2"/>
          <w:sz w:val="28"/>
          <w:szCs w:val="28"/>
          <w:lang w:val="en-US" w:eastAsia="zh-CN"/>
        </w:rPr>
        <w:t>鉴于红火蚁的严重危害性及其在广东省内的发生形势。我方在政府政策的指导下，基于我方开发的适用于林地与城市绿地的有效监测方法，拟编写《林地与城市绿地红火蚁监测技术规程》（后简称《规程》）。《规程》中提到的监测方法与技术规程具有准确、快速和全面等优点，将有效解决以往林地和城市绿地范围内红火蚁发生情况监测的难点与弊端，对红火蚁的监测与早期防治具有重要的理论与技术价值。</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sz w:val="30"/>
          <w:szCs w:val="30"/>
        </w:rPr>
      </w:pPr>
      <w:r>
        <w:rPr>
          <w:rFonts w:hint="eastAsia" w:ascii="黑体" w:hAnsi="黑体" w:eastAsia="黑体" w:cs="黑体"/>
          <w:sz w:val="30"/>
          <w:szCs w:val="30"/>
        </w:rPr>
        <w:t>标准编制原则，标准框架、主要内容及其确定依据。</w:t>
      </w:r>
      <w:r>
        <w:rPr>
          <w:rFonts w:hint="eastAsia" w:ascii="仿宋" w:hAnsi="仿宋" w:eastAsia="仿宋" w:cs="仿宋"/>
          <w:sz w:val="30"/>
          <w:szCs w:val="30"/>
        </w:rPr>
        <w:t>修订标准时，还包括修订前后技术内容的对比。</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default" w:hAnsi="宋体"/>
          <w:kern w:val="2"/>
          <w:sz w:val="28"/>
          <w:szCs w:val="28"/>
          <w:lang w:val="en-US" w:eastAsia="zh-CN"/>
        </w:rPr>
      </w:pPr>
      <w:r>
        <w:rPr>
          <w:rFonts w:hint="eastAsia" w:hAnsi="宋体"/>
          <w:kern w:val="2"/>
          <w:sz w:val="28"/>
          <w:szCs w:val="28"/>
          <w:lang w:val="en-US" w:eastAsia="zh-CN"/>
        </w:rPr>
        <w:t>1）标准编制原则</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default" w:hAnsi="宋体"/>
          <w:kern w:val="2"/>
          <w:sz w:val="28"/>
          <w:szCs w:val="28"/>
          <w:lang w:val="en-US" w:eastAsia="zh-CN"/>
        </w:rPr>
      </w:pPr>
      <w:r>
        <w:rPr>
          <w:rFonts w:hint="default" w:hAnsi="宋体"/>
          <w:kern w:val="2"/>
          <w:sz w:val="28"/>
          <w:szCs w:val="28"/>
          <w:lang w:val="en-US" w:eastAsia="zh-CN"/>
        </w:rPr>
        <w:t>本</w:t>
      </w:r>
      <w:r>
        <w:rPr>
          <w:rFonts w:hint="eastAsia" w:hAnsi="宋体"/>
          <w:kern w:val="2"/>
          <w:sz w:val="28"/>
          <w:szCs w:val="28"/>
          <w:lang w:val="en-US" w:eastAsia="zh-CN"/>
        </w:rPr>
        <w:t>标准</w:t>
      </w:r>
      <w:r>
        <w:rPr>
          <w:rFonts w:hint="default" w:hAnsi="宋体"/>
          <w:kern w:val="2"/>
          <w:sz w:val="28"/>
          <w:szCs w:val="28"/>
          <w:lang w:val="en-US" w:eastAsia="zh-CN"/>
        </w:rPr>
        <w:t>按照GB/T 1.1-2020《标准化工作导则 第1部分：标准化文件的结构和起草规则》的规定起草。</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本标准的编制符合法律法规原则。本标准的编制严格遵守相关领域法律法规，包括但不限于：《中华人民共和国标准化法》、《中华人民共和国生物安全法》、《植物检疫条例》、《地方标准管理办法》、《广东省标准化条例》、《广东省林业标准化计划项目管理办法》、《广东省森林保护管理条例》、《广东省植物检疫实施办法》。同时，标准符合科学实用原则，标准依据科学、客观、严谨，内容完整、通用、可操作。</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hAnsi="宋体"/>
          <w:kern w:val="2"/>
          <w:sz w:val="28"/>
          <w:szCs w:val="28"/>
          <w:lang w:val="en-US" w:eastAsia="zh-CN"/>
        </w:rPr>
      </w:pPr>
      <w:r>
        <w:rPr>
          <w:rFonts w:hint="eastAsia" w:hAnsi="宋体"/>
          <w:kern w:val="2"/>
          <w:sz w:val="28"/>
          <w:szCs w:val="28"/>
          <w:lang w:val="en-US" w:eastAsia="zh-CN"/>
        </w:rPr>
        <w:t>2）标准框架、主要内容及其确定依据</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1、适用范围</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本文件规定了林地与城市绿地区域内的红火蚁监测技术规程，包括监测条件、监测区域、监测方法、样本鉴定和发生等级评估等。</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本文件适用于广东省内林地与城市绿地区域的红火蚁监测工作。</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2、规范性引用文件</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GB/T 20477—2006 红火蚁检疫鉴定方法</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GB/T 23626—2009 红火蚁疫情监测规程</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CJJ/T 85—2017 城市绿地分类标准</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LY/T 1812—2021 林地分类</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3、术语和定义</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 xml:space="preserve"> GB/T 20477—2006、GB/T 23626—2009、CJJ/T 85—2017和LY/T 1812—2021界定的术语和定义适用于本文件。</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default" w:hAnsi="宋体"/>
          <w:kern w:val="2"/>
          <w:sz w:val="28"/>
          <w:szCs w:val="28"/>
          <w:lang w:val="en-US" w:eastAsia="zh-CN"/>
        </w:rPr>
      </w:pPr>
      <w:r>
        <w:rPr>
          <w:rFonts w:hint="eastAsia" w:hAnsi="宋体"/>
          <w:kern w:val="2"/>
          <w:sz w:val="28"/>
          <w:szCs w:val="28"/>
          <w:lang w:val="en-US" w:eastAsia="zh-CN"/>
        </w:rPr>
        <w:t>4、监测区域类型</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default" w:hAnsi="宋体"/>
          <w:kern w:val="2"/>
          <w:sz w:val="28"/>
          <w:szCs w:val="28"/>
          <w:lang w:val="en-US" w:eastAsia="zh-CN"/>
        </w:rPr>
      </w:pPr>
      <w:r>
        <w:rPr>
          <w:rFonts w:hint="eastAsia" w:hAnsi="宋体"/>
          <w:kern w:val="2"/>
          <w:sz w:val="28"/>
          <w:szCs w:val="28"/>
          <w:lang w:val="en-US" w:eastAsia="zh-CN"/>
        </w:rPr>
        <w:t>将监测区域划分为重点监测区域和非重点监测区域。</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5、监测作业</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本章规定了监测条件、监测区域、抽样方法和监测方法。</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6、样本鉴定</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本章规定了监测作业中收集的疑似红火蚁的蚂蚁样本的鉴定方法。</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7、发生程度等级评估</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本章规定了评估监测区域红火蚁发生程度和等级的方法。</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8"/>
          <w:szCs w:val="28"/>
          <w:lang w:val="en-US" w:eastAsia="zh-CN"/>
        </w:rPr>
      </w:pPr>
      <w:r>
        <w:rPr>
          <w:rFonts w:hint="eastAsia" w:hAnsi="宋体"/>
          <w:kern w:val="2"/>
          <w:sz w:val="28"/>
          <w:szCs w:val="28"/>
          <w:lang w:val="en-US" w:eastAsia="zh-CN"/>
        </w:rPr>
        <w:t>8、监测区域动态调整</w:t>
      </w:r>
    </w:p>
    <w:p>
      <w:pPr>
        <w:pStyle w:val="5"/>
        <w:keepNext w:val="0"/>
        <w:keepLines w:val="0"/>
        <w:pageBreakBefore w:val="0"/>
        <w:numPr>
          <w:ilvl w:val="0"/>
          <w:numId w:val="0"/>
        </w:numPr>
        <w:kinsoku/>
        <w:wordWrap/>
        <w:overflowPunct/>
        <w:topLinePunct w:val="0"/>
        <w:bidi w:val="0"/>
        <w:adjustRightInd/>
        <w:snapToGrid/>
        <w:spacing w:line="360" w:lineRule="auto"/>
        <w:ind w:leftChars="0" w:firstLine="480"/>
        <w:textAlignment w:val="auto"/>
        <w:rPr>
          <w:rFonts w:hint="eastAsia" w:hAnsi="宋体"/>
          <w:kern w:val="2"/>
          <w:sz w:val="24"/>
          <w:szCs w:val="24"/>
          <w:lang w:val="en-US" w:eastAsia="zh-CN"/>
        </w:rPr>
      </w:pPr>
      <w:r>
        <w:rPr>
          <w:rFonts w:hint="eastAsia" w:hAnsi="宋体"/>
          <w:kern w:val="2"/>
          <w:sz w:val="28"/>
          <w:szCs w:val="28"/>
          <w:lang w:val="en-US" w:eastAsia="zh-CN"/>
        </w:rPr>
        <w:t>本章规定了根据监测结果对监测区域进行动态调整的方法。</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与现行法律法规、强制性标准等上位标准关系。</w:t>
      </w:r>
    </w:p>
    <w:p>
      <w:pPr>
        <w:keepNext w:val="0"/>
        <w:keepLines w:val="0"/>
        <w:pageBreakBefore w:val="0"/>
        <w:kinsoku/>
        <w:wordWrap/>
        <w:overflowPunct/>
        <w:topLinePunct w:val="0"/>
        <w:bidi w:val="0"/>
        <w:adjustRightInd/>
        <w:snapToGrid/>
        <w:spacing w:line="360" w:lineRule="auto"/>
        <w:ind w:firstLine="495" w:firstLineChars="177"/>
        <w:textAlignment w:val="auto"/>
        <w:rPr>
          <w:rFonts w:hint="eastAsia" w:ascii="黑体" w:hAnsi="黑体" w:eastAsia="黑体" w:cs="黑体"/>
          <w:sz w:val="30"/>
          <w:szCs w:val="30"/>
        </w:rPr>
      </w:pPr>
      <w:r>
        <w:rPr>
          <w:rFonts w:hint="eastAsia" w:ascii="宋体" w:hAnsi="宋体" w:eastAsia="宋体" w:cs="宋体"/>
          <w:sz w:val="28"/>
          <w:szCs w:val="28"/>
        </w:rPr>
        <w:t>本标准</w:t>
      </w:r>
      <w:r>
        <w:rPr>
          <w:rFonts w:hint="eastAsia" w:ascii="宋体" w:hAnsi="宋体" w:eastAsia="宋体" w:cs="宋体"/>
          <w:sz w:val="28"/>
          <w:szCs w:val="28"/>
          <w:lang w:val="en-US" w:eastAsia="zh-CN"/>
        </w:rPr>
        <w:t>遵守</w:t>
      </w:r>
      <w:r>
        <w:rPr>
          <w:rFonts w:hint="eastAsia" w:ascii="宋体" w:hAnsi="宋体" w:eastAsia="宋体" w:cs="宋体"/>
          <w:kern w:val="2"/>
          <w:sz w:val="28"/>
          <w:szCs w:val="28"/>
          <w:lang w:val="en-US" w:eastAsia="zh-CN"/>
        </w:rPr>
        <w:t>《中华人民共和国标准化法》、《中华人民共和国生物安全法》、《植物检疫条例》、《地方标准管理办法》、《广东省标准化条例》、《广东省林业标准化计划项目管理办法》、《广东省森林保护管理条例》、《广东省植物检疫实施办法》。同时，</w:t>
      </w:r>
      <w:r>
        <w:rPr>
          <w:rFonts w:hint="eastAsia" w:ascii="宋体" w:hAnsi="宋体" w:eastAsia="宋体" w:cs="宋体"/>
          <w:sz w:val="28"/>
          <w:szCs w:val="28"/>
        </w:rPr>
        <w:t>贯彻落实</w:t>
      </w:r>
      <w:r>
        <w:rPr>
          <w:rFonts w:hint="eastAsia" w:ascii="宋体" w:hAnsi="宋体" w:eastAsia="宋体" w:cs="宋体"/>
          <w:sz w:val="28"/>
          <w:szCs w:val="28"/>
          <w:lang w:val="en-US" w:eastAsia="zh-CN"/>
        </w:rPr>
        <w:t>了</w:t>
      </w:r>
      <w:r>
        <w:rPr>
          <w:rFonts w:hint="eastAsia" w:ascii="宋体" w:hAnsi="宋体" w:eastAsia="宋体" w:cs="宋体"/>
          <w:kern w:val="2"/>
          <w:sz w:val="28"/>
          <w:szCs w:val="28"/>
          <w:lang w:val="en-US" w:eastAsia="zh-CN"/>
        </w:rPr>
        <w:t>《关于加强红火蚁阻截防控工作的通知》（农农发〔2021〕3号），《广东省人民政府办公厅关于印发广东省防控红火蚁若干措施的通知》（粤办函〔2021〕6号），《广东省林业局关于做好林地红火蚁防控工作的通知》（粤林函〔2021〕11号），《关于深入推进绿美广东生态建设的决定》等文件的规定，内容符家相关法律、法规、规章及相关标准。</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sz w:val="30"/>
          <w:szCs w:val="30"/>
        </w:rPr>
      </w:pPr>
      <w:r>
        <w:rPr>
          <w:rFonts w:hint="eastAsia" w:ascii="黑体" w:hAnsi="黑体" w:eastAsia="黑体" w:cs="黑体"/>
          <w:sz w:val="30"/>
          <w:szCs w:val="30"/>
        </w:rPr>
        <w:t>标准有何先进性或特色性。</w:t>
      </w:r>
      <w:r>
        <w:rPr>
          <w:rFonts w:hint="eastAsia" w:ascii="仿宋" w:hAnsi="仿宋" w:eastAsia="仿宋" w:cs="仿宋"/>
          <w:sz w:val="30"/>
          <w:szCs w:val="30"/>
        </w:rPr>
        <w:t>（</w:t>
      </w:r>
      <w:r>
        <w:rPr>
          <w:rFonts w:ascii="仿宋" w:hAnsi="仿宋" w:eastAsia="仿宋" w:cs="仿宋"/>
          <w:sz w:val="30"/>
          <w:szCs w:val="30"/>
        </w:rPr>
        <w:t>与新《标准化法》第十三</w:t>
      </w:r>
      <w:r>
        <w:rPr>
          <w:rFonts w:hint="eastAsia" w:ascii="仿宋" w:hAnsi="仿宋" w:eastAsia="仿宋" w:cs="仿宋"/>
          <w:sz w:val="30"/>
          <w:szCs w:val="30"/>
        </w:rPr>
        <w:t>条</w:t>
      </w:r>
      <w:r>
        <w:rPr>
          <w:rFonts w:ascii="仿宋" w:hAnsi="仿宋" w:eastAsia="仿宋" w:cs="仿宋"/>
          <w:sz w:val="30"/>
          <w:szCs w:val="30"/>
        </w:rPr>
        <w:t>相呼应</w:t>
      </w:r>
      <w:r>
        <w:rPr>
          <w:rFonts w:hint="eastAsia" w:ascii="仿宋" w:hAnsi="仿宋" w:eastAsia="仿宋" w:cs="仿宋"/>
          <w:sz w:val="30"/>
          <w:szCs w:val="30"/>
        </w:rPr>
        <w:t>）</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《林地与城市绿地红火蚁监测技术规程》编制组严格遵循GB/T 1.1-2020的标准编写要求进行起草，标准的先进性和特色性主要体现在以下几个方面：</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1）文件系统全面：该标准为林地与城市绿地红火蚁监测提供了一套完整的操作指南，从区域划分到具体监测方法的实施，确保了整个监测流程的标准化和系统化。</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2）引用规范准确：标准引用了多项相关国家和行业标准，确保其与现行法规和标准的协调一致，进一步增强了标准的权威性和科学性。</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3）技术细节明确：标准对重点和非重点区域的分类、抽样方法，以及在不同条件下的监测操作步骤进行了详尽的描述，语言简洁明了，增强了标准的可操作性与实用性。</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hint="eastAsia" w:ascii="仿宋" w:hAnsi="仿宋" w:eastAsia="仿宋" w:cs="仿宋"/>
          <w:sz w:val="30"/>
          <w:szCs w:val="30"/>
        </w:rPr>
      </w:pPr>
      <w:r>
        <w:rPr>
          <w:rFonts w:hint="eastAsia" w:ascii="宋体" w:hAnsi="宋体" w:eastAsia="宋体" w:cs="宋体"/>
          <w:sz w:val="28"/>
          <w:szCs w:val="28"/>
          <w:lang w:eastAsia="zh-CN"/>
        </w:rPr>
        <w:t>4）方法创新且契合实际：针对传统监测方法在林地和城市绿地实施中存在的局限性，编制组结合实践与研究经验，创新性地开发了“树干诱饵诱集法”，该方法有效避免了传统监测方法在这些区域工作量大、准确率低、监测装置易遗失等问题，实现了对红火蚁发生和分布情况的全面、准确评估。</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sz w:val="30"/>
          <w:szCs w:val="30"/>
        </w:rPr>
      </w:pPr>
      <w:r>
        <w:rPr>
          <w:rFonts w:hint="eastAsia" w:ascii="黑体" w:hAnsi="黑体" w:eastAsia="黑体" w:cs="黑体"/>
          <w:sz w:val="30"/>
          <w:szCs w:val="30"/>
        </w:rPr>
        <w:t>标准调研、研讨、征求意见情况。</w:t>
      </w:r>
      <w:r>
        <w:rPr>
          <w:rFonts w:hint="eastAsia" w:ascii="仿宋" w:hAnsi="仿宋" w:eastAsia="仿宋" w:cs="仿宋"/>
          <w:sz w:val="30"/>
          <w:szCs w:val="30"/>
        </w:rPr>
        <w:t>重大分歧意见的处理经过和依据。（描述何时做了什么，文本作何修改，征求意见时间不少于三十日，并重点说明征求意见过程及反惯意见处理情况）</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hint="eastAsia" w:ascii="宋体" w:hAnsi="宋体" w:eastAsia="宋体" w:cs="宋体"/>
          <w:sz w:val="24"/>
          <w:szCs w:val="24"/>
          <w:lang w:val="en-US" w:eastAsia="zh-CN"/>
        </w:rPr>
      </w:pPr>
      <w:r>
        <w:rPr>
          <w:rFonts w:hint="eastAsia" w:ascii="宋体" w:hAnsi="宋体" w:eastAsia="宋体" w:cs="宋体"/>
          <w:sz w:val="28"/>
          <w:szCs w:val="28"/>
        </w:rPr>
        <w:t>本标准编制过程中未出现重大分歧。2024年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本标准</w:t>
      </w:r>
      <w:r>
        <w:rPr>
          <w:rFonts w:hint="eastAsia" w:ascii="宋体" w:hAnsi="宋体" w:eastAsia="宋体" w:cs="宋体"/>
          <w:sz w:val="28"/>
          <w:szCs w:val="28"/>
        </w:rPr>
        <w:t>面向全省征求意见</w:t>
      </w:r>
      <w:r>
        <w:rPr>
          <w:rFonts w:hint="eastAsia" w:ascii="宋体" w:hAnsi="宋体" w:eastAsia="宋体" w:cs="宋体"/>
          <w:sz w:val="28"/>
          <w:szCs w:val="28"/>
          <w:lang w:eastAsia="zh-CN"/>
        </w:rPr>
        <w:t>，</w:t>
      </w:r>
      <w:r>
        <w:rPr>
          <w:rFonts w:hint="eastAsia" w:ascii="宋体" w:hAnsi="宋体" w:eastAsia="宋体" w:cs="宋体"/>
          <w:sz w:val="28"/>
          <w:szCs w:val="28"/>
        </w:rPr>
        <w:t>发送“征求意见稿”单位数_55_个。收到“征求意见稿”后，回函的单位数_55_个。回函的单位中，有意见和建议的单位数_22_个</w:t>
      </w:r>
      <w:r>
        <w:rPr>
          <w:rFonts w:hint="eastAsia" w:ascii="宋体" w:hAnsi="宋体" w:eastAsia="宋体" w:cs="宋体"/>
          <w:sz w:val="28"/>
          <w:szCs w:val="28"/>
          <w:lang w:eastAsia="zh-CN"/>
        </w:rPr>
        <w:t>，</w:t>
      </w:r>
      <w:r>
        <w:rPr>
          <w:rFonts w:hint="eastAsia" w:ascii="宋体" w:hAnsi="宋体" w:eastAsia="宋体" w:cs="宋体"/>
          <w:sz w:val="28"/>
          <w:szCs w:val="28"/>
        </w:rPr>
        <w:t>无意见的单位数33_个。回函的建议或意见数75_条</w:t>
      </w:r>
      <w:r>
        <w:rPr>
          <w:rFonts w:hint="eastAsia" w:ascii="宋体" w:hAnsi="宋体" w:eastAsia="宋体" w:cs="宋体"/>
          <w:sz w:val="28"/>
          <w:szCs w:val="28"/>
          <w:lang w:eastAsia="zh-CN"/>
        </w:rPr>
        <w:t>，</w:t>
      </w:r>
      <w:r>
        <w:rPr>
          <w:rFonts w:hint="eastAsia" w:ascii="宋体" w:hAnsi="宋体" w:eastAsia="宋体" w:cs="宋体"/>
          <w:sz w:val="28"/>
          <w:szCs w:val="28"/>
        </w:rPr>
        <w:t>其中采纳_54_条，部分采纳_8_条，不采纳13_条。不采纳</w:t>
      </w:r>
      <w:r>
        <w:rPr>
          <w:rFonts w:hint="eastAsia" w:ascii="宋体" w:hAnsi="宋体" w:eastAsia="宋体" w:cs="宋体"/>
          <w:sz w:val="28"/>
          <w:szCs w:val="28"/>
          <w:lang w:val="en-US" w:eastAsia="zh-CN"/>
        </w:rPr>
        <w:t>意见及理由如下：</w:t>
      </w:r>
    </w:p>
    <w:p>
      <w:pPr>
        <w:keepNext w:val="0"/>
        <w:keepLines w:val="0"/>
        <w:pageBreakBefore w:val="0"/>
        <w:numPr>
          <w:ilvl w:val="0"/>
          <w:numId w:val="0"/>
        </w:numPr>
        <w:kinsoku/>
        <w:wordWrap/>
        <w:overflowPunct/>
        <w:topLinePunct w:val="0"/>
        <w:bidi w:val="0"/>
        <w:adjustRightInd/>
        <w:snapToGrid/>
        <w:spacing w:line="240" w:lineRule="auto"/>
        <w:textAlignment w:val="auto"/>
        <w:rPr>
          <w:rFonts w:hint="eastAsia" w:ascii="宋体" w:hAnsi="宋体" w:eastAsia="宋体" w:cs="宋体"/>
          <w:sz w:val="24"/>
          <w:szCs w:val="24"/>
          <w:lang w:val="en-US" w:eastAsia="zh-CN"/>
        </w:rPr>
      </w:pP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007"/>
        <w:gridCol w:w="1357"/>
        <w:gridCol w:w="2194"/>
        <w:gridCol w:w="897"/>
        <w:gridCol w:w="1345"/>
        <w:gridCol w:w="12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tcBorders>
              <w:bottom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007" w:type="dxa"/>
            <w:tcBorders>
              <w:bottom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条文编号</w:t>
            </w:r>
          </w:p>
        </w:tc>
        <w:tc>
          <w:tcPr>
            <w:tcW w:w="1357" w:type="dxa"/>
            <w:tcBorders>
              <w:bottom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提出意见的单位或个人</w:t>
            </w:r>
          </w:p>
        </w:tc>
        <w:tc>
          <w:tcPr>
            <w:tcW w:w="2194" w:type="dxa"/>
            <w:tcBorders>
              <w:bottom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反馈意见</w:t>
            </w:r>
          </w:p>
        </w:tc>
        <w:tc>
          <w:tcPr>
            <w:tcW w:w="897" w:type="dxa"/>
            <w:tcBorders>
              <w:bottom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是否采纳</w:t>
            </w:r>
          </w:p>
        </w:tc>
        <w:tc>
          <w:tcPr>
            <w:tcW w:w="1345" w:type="dxa"/>
            <w:tcBorders>
              <w:bottom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不采纳的理由</w:t>
            </w:r>
          </w:p>
        </w:tc>
        <w:tc>
          <w:tcPr>
            <w:tcW w:w="1237" w:type="dxa"/>
            <w:tcBorders>
              <w:bottom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处理结果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tcBorders>
              <w:top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07" w:type="dxa"/>
            <w:tcBorders>
              <w:top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w:t>
            </w:r>
          </w:p>
        </w:tc>
        <w:tc>
          <w:tcPr>
            <w:tcW w:w="1357" w:type="dxa"/>
            <w:tcBorders>
              <w:top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封开县森林病虫害防疫站</w:t>
            </w:r>
          </w:p>
        </w:tc>
        <w:tc>
          <w:tcPr>
            <w:tcW w:w="2194" w:type="dxa"/>
            <w:tcBorders>
              <w:top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LY/T 1812-2021中迹地为乔木林地、灌木林地在采伐、火灾、平茬等作业活动后，分别达不到疏林地、木林地标准，尚未人工更新的林地。结合本地实际生产经营情况，迹地中发现红火蚁极少，为此，建议将（1）属于重点监测区域“迹地”，调整至（2）属于非重点检测区域“迹地”。</w:t>
            </w:r>
          </w:p>
        </w:tc>
        <w:tc>
          <w:tcPr>
            <w:tcW w:w="897" w:type="dxa"/>
            <w:tcBorders>
              <w:top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tcBorders>
              <w:top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根据相关文献，迹地中红火蚁发生风险较高，因此仍将迹地列为重点监测区域。</w:t>
            </w:r>
          </w:p>
        </w:tc>
        <w:tc>
          <w:tcPr>
            <w:tcW w:w="1237" w:type="dxa"/>
            <w:tcBorders>
              <w:top w:val="single" w:color="auto" w:sz="12" w:space="0"/>
            </w:tcBorders>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广东省农业科学院植物保护研究所</w:t>
            </w:r>
          </w:p>
        </w:tc>
        <w:tc>
          <w:tcPr>
            <w:tcW w:w="2194"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建议将“特殊情况下（如：确已发现红火蚁）”修改为“如已确认发现红火蚁疫情”，表述更为简洁，准确。</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我们对区域分类进行了重新划分，相关的表述已经被移除</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附录AB</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广东省农业科学院植物保护研究所</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表A.1表B.1关于监测样地/带的部分是相同的，是否可以考虑二表合并？只保留一张表。</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两表重复部份较少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合并后会较为复杂，保留当前形式</w:t>
            </w:r>
            <w:r>
              <w:rPr>
                <w:rFonts w:hint="eastAsia" w:ascii="宋体" w:hAnsi="宋体" w:eastAsia="宋体" w:cs="宋体"/>
                <w:color w:val="auto"/>
                <w:sz w:val="21"/>
                <w:szCs w:val="21"/>
                <w:highlight w:val="none"/>
                <w:vertAlign w:val="baseline"/>
                <w:lang w:val="en-US" w:eastAsia="zh-CN"/>
              </w:rPr>
              <w:t>。</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4.4</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广东万绿湖农业投资有限公司</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议增加4.4.4热成像监测。使用高分辨率的红外热成像摄像机，其能够检测到微小的温度变化。在温度变化明显的时段（早晨或傍晚）对选定的区域进行全面扫描监测，记录所有异常热量区域。这些区域可能代表红火蚁的活动点和巢穴。分析热成像图像，识别出蚁群的分布和巢穴。这种技术能够高效地发现红火蚁的隐蔽巢穴。针对监测到的蚁群区域，可作进行详细的地面调查和控制措施。</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在实践中很难使用红外热成像摄像机，且尚未有研究确认热成像摄像机监测红火蚁巢穴的效果。</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4.4.3.1.2</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广东益林科技有限公司</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监测瓶能否固定在1.5 m处，方便观察。</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本课题组前期研究表明将监测瓶固定在30 cm以上时，诱集红火蚁数量显著下降。</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4.4.3.1.2</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广东景源林业有限公司</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监测瓶能否固定在1.5 m处，方便观察。</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本课题组前期研究表明将监测瓶固定在30 cm以上时，诱集红火蚁数量显著下降。</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39</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新增</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雷州市森林病虫害防治检疫站</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发生规模是监测工作的成果体现，建议新增各发生程度等级的面积计算及统计方法。</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目前未见相关估算方法和公式。</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广州市绿之城园林绿化工程有限公司</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建议增加针对不同的作业温度，是否有不一样的监测措施。</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本课题组前期实验表明20-35℃都可采集相当数量的红火蚁，无须不一样的监测措施。</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60</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附录A</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湛江市森林病虫害防治站</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建议表内增加红火蚁监测样地调查中发现红火蚁巢发生大小的数据，为方便防治红火蚁提供依据。</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本文件规定的方法不涉及对具体巢穴的探查。</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61</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中山市三乡晋安造林绿化有限公司</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样点须规范清楚，是样方还是样圆。</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可根据实际情况灵活决定，只要面积达标准规定的要求即可。</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62</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中山市三乡晋安造林绿化有限公司</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设置样点时，须规范样点是否离开区域边缘的距离。</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可根据实际情况灵活决定</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71</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广州碳汇林业有限公司</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建议增加监测样地、监测样带、监测样点、树干诱集法、地面诱集法的释义。</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这些概念属于常识。树干诱集法与地面诱集法的名称可非常直观的反映其含义。</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72</w:t>
            </w:r>
          </w:p>
        </w:tc>
        <w:tc>
          <w:tcPr>
            <w:tcW w:w="100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w:t>
            </w:r>
          </w:p>
        </w:tc>
        <w:tc>
          <w:tcPr>
            <w:tcW w:w="135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广州碳汇林业有限公司</w:t>
            </w:r>
          </w:p>
        </w:tc>
        <w:tc>
          <w:tcPr>
            <w:tcW w:w="2194" w:type="dxa"/>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建议明确每个监测样条里要设多少个监测点，每个监测点里要设多少个监测瓶。</w:t>
            </w:r>
          </w:p>
        </w:tc>
        <w:tc>
          <w:tcPr>
            <w:tcW w:w="89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不采纳</w:t>
            </w:r>
          </w:p>
        </w:tc>
        <w:tc>
          <w:tcPr>
            <w:tcW w:w="1345"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已在“5.4.1.2　样本树选择”规定了选取10棵立木作为安装监测瓶的样本数</w:t>
            </w:r>
          </w:p>
        </w:tc>
        <w:tc>
          <w:tcPr>
            <w:tcW w:w="1237" w:type="dxa"/>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已答复</w:t>
            </w:r>
          </w:p>
        </w:tc>
      </w:tr>
    </w:tbl>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sz w:val="30"/>
          <w:szCs w:val="30"/>
        </w:rPr>
      </w:pPr>
      <w:r>
        <w:rPr>
          <w:rFonts w:hint="eastAsia" w:ascii="黑体" w:hAnsi="黑体" w:eastAsia="黑体" w:cs="黑体"/>
          <w:sz w:val="30"/>
          <w:szCs w:val="30"/>
        </w:rPr>
        <w:t>技术指标设置的科学性和可行性。</w:t>
      </w:r>
      <w:r>
        <w:rPr>
          <w:rFonts w:hint="eastAsia" w:ascii="仿宋" w:hAnsi="仿宋" w:eastAsia="仿宋" w:cs="仿宋"/>
          <w:sz w:val="30"/>
          <w:szCs w:val="30"/>
        </w:rPr>
        <w:t>量化指标的确定依据。</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hint="eastAsia" w:ascii="仿宋" w:hAnsi="仿宋" w:eastAsia="仿宋" w:cs="仿宋"/>
          <w:sz w:val="30"/>
          <w:szCs w:val="30"/>
        </w:rPr>
      </w:pPr>
      <w:r>
        <w:rPr>
          <w:rFonts w:hint="eastAsia" w:ascii="宋体" w:hAnsi="宋体" w:eastAsia="宋体" w:cs="宋体"/>
          <w:sz w:val="28"/>
          <w:szCs w:val="28"/>
        </w:rPr>
        <w:t>针对</w:t>
      </w:r>
      <w:r>
        <w:rPr>
          <w:rFonts w:hint="eastAsia" w:ascii="宋体" w:hAnsi="宋体" w:eastAsia="宋体" w:cs="宋体"/>
          <w:sz w:val="28"/>
          <w:szCs w:val="28"/>
          <w:lang w:val="en-US" w:eastAsia="zh-CN"/>
        </w:rPr>
        <w:t>目前林地与城市绿地红火蚁监测中存在的诸多问题与</w:t>
      </w:r>
      <w:r>
        <w:rPr>
          <w:rFonts w:hint="eastAsia" w:ascii="宋体" w:hAnsi="宋体" w:eastAsia="宋体" w:cs="宋体"/>
          <w:sz w:val="28"/>
          <w:szCs w:val="28"/>
        </w:rPr>
        <w:t>限制，我方根据先前的研究中发现的红火蚁能够在行道树干的垂直表面觅食这一行为特性，</w:t>
      </w:r>
      <w:r>
        <w:rPr>
          <w:rFonts w:hint="eastAsia" w:ascii="宋体" w:hAnsi="宋体" w:eastAsia="宋体" w:cs="宋体"/>
          <w:sz w:val="28"/>
          <w:szCs w:val="28"/>
          <w:lang w:val="en-US" w:eastAsia="zh-CN"/>
        </w:rPr>
        <w:t>进行了大量科学实验。</w:t>
      </w:r>
      <w:r>
        <w:rPr>
          <w:rFonts w:hint="eastAsia" w:ascii="宋体" w:hAnsi="宋体" w:eastAsia="宋体" w:cs="宋体"/>
          <w:sz w:val="28"/>
          <w:szCs w:val="28"/>
        </w:rPr>
        <w:t>开发了一种可用于林地和城市绿地范围内红火蚁发生情况的监测方法——“树干诱饵诱集法”。即将一个内部放诱饵（火腿肠）的采集管水平放置在树干基部高15 cm处并使用塑料胶带固定，放置1个小时后将采集管回收统计红火蚁数量，并结合监测结果对监测区域内红火蚁发生程度进行等级评估。该方法有效的规避了传统方法应用于林地和城市绿地区域时的限制，且能够对区域内红火蚁的发生和分布情况进行全面且准确地评估。</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ascii="仿宋" w:hAnsi="仿宋" w:eastAsia="仿宋" w:cs="仿宋"/>
          <w:sz w:val="30"/>
          <w:szCs w:val="30"/>
        </w:rPr>
      </w:pPr>
      <w:r>
        <w:rPr>
          <w:rFonts w:hint="eastAsia" w:ascii="黑体" w:hAnsi="黑体" w:eastAsia="黑体" w:cs="黑体"/>
          <w:sz w:val="30"/>
          <w:szCs w:val="30"/>
        </w:rPr>
        <w:t>与国际、国家、行业、其他省同类标准技术内容的对比情况，或者与测试的国外样品、样机的有关数据对比情况。</w:t>
      </w:r>
      <w:r>
        <w:rPr>
          <w:rFonts w:hint="eastAsia" w:ascii="仿宋" w:hAnsi="仿宋" w:eastAsia="仿宋" w:cs="仿宋"/>
          <w:sz w:val="30"/>
          <w:szCs w:val="30"/>
        </w:rPr>
        <w:t>采标情况，以及是否合规引</w:t>
      </w:r>
      <w:r>
        <w:rPr>
          <w:rFonts w:ascii="仿宋" w:hAnsi="仿宋" w:eastAsia="仿宋" w:cs="仿宋"/>
          <w:sz w:val="30"/>
          <w:szCs w:val="30"/>
        </w:rPr>
        <w:t>用或采用国际国外标准。</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以现行红火蚁监测相关的国家标准、行业标准和地方标准为基础，结合编制组长期深耕于林业领域红火蚁监测与防控工作的研究成果和实践经验，根据林业领域内各类生境红火蚁的发生特点与环境特点，旨在推出一套标准化的林地与城市绿地红火蚁监测技术规程。</w:t>
      </w:r>
    </w:p>
    <w:p>
      <w:pPr>
        <w:keepNext w:val="0"/>
        <w:keepLines w:val="0"/>
        <w:pageBreakBefore w:val="0"/>
        <w:numPr>
          <w:ilvl w:val="0"/>
          <w:numId w:val="0"/>
        </w:numPr>
        <w:kinsoku/>
        <w:wordWrap/>
        <w:overflowPunct/>
        <w:topLinePunct w:val="0"/>
        <w:bidi w:val="0"/>
        <w:adjustRightInd/>
        <w:snapToGrid/>
        <w:spacing w:line="360" w:lineRule="auto"/>
        <w:ind w:leftChars="0" w:firstLine="560" w:firstLineChars="200"/>
        <w:textAlignment w:val="auto"/>
        <w:rPr>
          <w:rFonts w:ascii="仿宋" w:hAnsi="仿宋" w:eastAsia="仿宋" w:cs="仿宋"/>
          <w:sz w:val="30"/>
          <w:szCs w:val="30"/>
        </w:rPr>
      </w:pPr>
      <w:r>
        <w:rPr>
          <w:rFonts w:hint="eastAsia" w:ascii="宋体" w:hAnsi="宋体" w:eastAsia="宋体" w:cs="宋体"/>
          <w:sz w:val="28"/>
          <w:szCs w:val="28"/>
          <w:lang w:val="en-US" w:eastAsia="zh-CN"/>
        </w:rPr>
        <w:t>本标准未</w:t>
      </w:r>
      <w:r>
        <w:rPr>
          <w:rFonts w:hint="eastAsia" w:ascii="宋体" w:hAnsi="宋体" w:eastAsia="宋体" w:cs="宋体"/>
          <w:sz w:val="28"/>
          <w:szCs w:val="28"/>
        </w:rPr>
        <w:t>引用或采用国际国外标准</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涉及专利的有关说明。</w:t>
      </w:r>
    </w:p>
    <w:p>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黑体" w:hAnsi="黑体" w:eastAsia="黑体" w:cs="黑体"/>
          <w:sz w:val="28"/>
          <w:szCs w:val="28"/>
          <w:lang w:val="en-US" w:eastAsia="zh-CN"/>
        </w:rPr>
      </w:pPr>
      <w:r>
        <w:rPr>
          <w:rFonts w:hint="eastAsia" w:ascii="宋体" w:hAnsi="宋体" w:eastAsia="宋体" w:cs="宋体"/>
          <w:sz w:val="28"/>
          <w:szCs w:val="28"/>
          <w:lang w:val="en-US" w:eastAsia="zh-CN"/>
        </w:rPr>
        <w:t>无。</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报批阶段应补充专家审定会情况。</w:t>
      </w:r>
    </w:p>
    <w:p>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标准名称变更应详细说明理由并单独拟文申请。</w:t>
      </w:r>
    </w:p>
    <w:p>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黑体" w:hAnsi="黑体" w:eastAsia="黑体" w:cs="黑体"/>
          <w:sz w:val="28"/>
          <w:szCs w:val="28"/>
        </w:rPr>
      </w:pPr>
      <w:r>
        <w:rPr>
          <w:rFonts w:hint="eastAsia" w:ascii="宋体" w:hAnsi="宋体" w:eastAsia="宋体" w:cs="宋体"/>
          <w:sz w:val="28"/>
          <w:szCs w:val="28"/>
          <w:lang w:val="en-US" w:eastAsia="zh-CN"/>
        </w:rPr>
        <w:t>无。</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编制单位增减应予说明增减原因并单独拟文申请</w:t>
      </w:r>
    </w:p>
    <w:p>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黑体" w:hAnsi="黑体" w:eastAsia="黑体" w:cs="黑体"/>
          <w:sz w:val="28"/>
          <w:szCs w:val="28"/>
        </w:rPr>
      </w:pPr>
      <w:r>
        <w:rPr>
          <w:rFonts w:hint="eastAsia" w:ascii="宋体" w:hAnsi="宋体" w:eastAsia="宋体" w:cs="宋体"/>
          <w:sz w:val="28"/>
          <w:szCs w:val="28"/>
          <w:lang w:val="en-US" w:eastAsia="zh-CN"/>
        </w:rPr>
        <w:t>无。</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其他应当说明的事项。</w:t>
      </w:r>
    </w:p>
    <w:p>
      <w:pPr>
        <w:keepNext w:val="0"/>
        <w:keepLines w:val="0"/>
        <w:pageBreakBefore w:val="0"/>
        <w:widowControl w:val="0"/>
        <w:numPr>
          <w:ilvl w:val="0"/>
          <w:numId w:val="0"/>
        </w:numPr>
        <w:kinsoku/>
        <w:wordWrap/>
        <w:overflowPunct/>
        <w:topLinePunct w:val="0"/>
        <w:bidi w:val="0"/>
        <w:adjustRightInd/>
        <w:snapToGrid/>
        <w:spacing w:line="240" w:lineRule="auto"/>
        <w:jc w:val="both"/>
        <w:textAlignment w:val="auto"/>
        <w:rPr>
          <w:rFonts w:hint="eastAsia" w:ascii="黑体" w:hAnsi="黑体" w:eastAsia="黑体" w:cs="黑体"/>
          <w:sz w:val="28"/>
          <w:szCs w:val="28"/>
        </w:rPr>
      </w:pPr>
      <w:r>
        <w:rPr>
          <w:rFonts w:hint="eastAsia" w:ascii="宋体" w:hAnsi="宋体" w:eastAsia="宋体" w:cs="宋体"/>
          <w:sz w:val="28"/>
          <w:szCs w:val="28"/>
          <w:lang w:val="en-US" w:eastAsia="zh-CN"/>
        </w:rPr>
        <w:t>无。</w:t>
      </w:r>
    </w:p>
    <w:p>
      <w:pPr>
        <w:keepNext w:val="0"/>
        <w:keepLines w:val="0"/>
        <w:pageBreakBefore w:val="0"/>
        <w:numPr>
          <w:ilvl w:val="0"/>
          <w:numId w:val="1"/>
        </w:numPr>
        <w:kinsoku/>
        <w:wordWrap/>
        <w:overflowPunct/>
        <w:topLinePunct w:val="0"/>
        <w:bidi w:val="0"/>
        <w:adjustRightInd/>
        <w:snapToGrid/>
        <w:spacing w:line="240" w:lineRule="auto"/>
        <w:ind w:left="0" w:leftChars="0" w:firstLine="0" w:firstLineChars="0"/>
        <w:textAlignment w:val="auto"/>
        <w:rPr>
          <w:rFonts w:hint="eastAsia" w:ascii="黑体" w:hAnsi="黑体" w:eastAsia="黑体" w:cs="黑体"/>
          <w:sz w:val="30"/>
          <w:szCs w:val="30"/>
        </w:rPr>
      </w:pPr>
      <w:r>
        <w:rPr>
          <w:rFonts w:hint="eastAsia" w:ascii="黑体" w:hAnsi="黑体" w:eastAsia="黑体" w:cs="黑体"/>
          <w:sz w:val="30"/>
          <w:szCs w:val="30"/>
        </w:rPr>
        <w:t>贯彻地方标准的要求，以及组织措施、技术措施、过渡期和实施日期等建议。</w:t>
      </w:r>
    </w:p>
    <w:p>
      <w:pPr>
        <w:keepNext w:val="0"/>
        <w:keepLines w:val="0"/>
        <w:pageBreakBefore w:val="0"/>
        <w:numPr>
          <w:ilvl w:val="0"/>
          <w:numId w:val="0"/>
        </w:numPr>
        <w:kinsoku/>
        <w:wordWrap/>
        <w:overflowPunct/>
        <w:topLinePunct w:val="0"/>
        <w:bidi w:val="0"/>
        <w:adjustRightInd/>
        <w:snapToGrid/>
        <w:spacing w:line="240" w:lineRule="auto"/>
        <w:ind w:leftChars="0" w:firstLine="560" w:firstLineChars="200"/>
        <w:textAlignment w:val="auto"/>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本标准实施后，标准的贯彻首先要政府相关部门鼎力支持，建议行业主管部门广东省林业局和标准化主管部门省市场监督管理局等职能部门协助下发至省内各级部门推广标准文件，倡导各部门积极使用标准。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229AFA-9F86-43DA-B061-8982E7A704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2" w:fontKey="{53848695-BB11-4325-9A1F-849C6907FE88}"/>
  </w:font>
  <w:font w:name="仿宋">
    <w:panose1 w:val="02010609060101010101"/>
    <w:charset w:val="86"/>
    <w:family w:val="modern"/>
    <w:pitch w:val="default"/>
    <w:sig w:usb0="800002BF" w:usb1="38CF7CFA" w:usb2="00000016" w:usb3="00000000" w:csb0="00040001" w:csb1="00000000"/>
    <w:embedRegular r:id="rId3" w:fontKey="{67268885-C295-4122-A969-3D889582DB7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75701"/>
    <w:multiLevelType w:val="singleLevel"/>
    <w:tmpl w:val="C6775701"/>
    <w:lvl w:ilvl="0" w:tentative="0">
      <w:start w:val="1"/>
      <w:numFmt w:val="chineseCounting"/>
      <w:suff w:val="nothing"/>
      <w:lvlText w:val="%1、"/>
      <w:lvlJc w:val="left"/>
      <w:rPr>
        <w:rFonts w:hint="eastAsia" w:ascii="黑体" w:hAnsi="黑体" w:eastAsia="黑体" w:cs="黑体"/>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5ZDYxN2NiYzQ3Zjc1M2FkYTZmNGVlZmE5ZGM0NDcifQ=="/>
  </w:docVars>
  <w:rsids>
    <w:rsidRoot w:val="00901BA0"/>
    <w:rsid w:val="00043C7C"/>
    <w:rsid w:val="000E635F"/>
    <w:rsid w:val="00860329"/>
    <w:rsid w:val="00901BA0"/>
    <w:rsid w:val="0093667D"/>
    <w:rsid w:val="009C5101"/>
    <w:rsid w:val="00F26DEA"/>
    <w:rsid w:val="00FE4878"/>
    <w:rsid w:val="01160038"/>
    <w:rsid w:val="06FF7F8B"/>
    <w:rsid w:val="125B3D0E"/>
    <w:rsid w:val="34C17A50"/>
    <w:rsid w:val="67F28334"/>
    <w:rsid w:val="7FFF729F"/>
    <w:rsid w:val="CF67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74</Words>
  <Characters>422</Characters>
  <Lines>3</Lines>
  <Paragraphs>1</Paragraphs>
  <TotalTime>11</TotalTime>
  <ScaleCrop>false</ScaleCrop>
  <LinksUpToDate>false</LinksUpToDate>
  <CharactersWithSpaces>495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2023-06-27T00:18:00Z</dcterms:created>
  <dc:creator>孟景祥</dc:creator>
  <cp:lastModifiedBy>HP</cp:lastModifiedBy>
  <dcterms:modified xsi:type="dcterms:W3CDTF">2024-10-22T06:44:31Z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2B159213AFCB493FBF6164296C290DF7</vt:lpwstr>
  </property>
</Properties>
</file>